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RESTATED v3.8.343 ON THE PLATFORM'S PRIMARY DESIGN. Social Security is absorbed: the trust fund moves into the Sovereign Fund at year 1 and every payroll tax dollar collected during the wind-down goes to the fund, with benefits and repayments financed by borrowing. On that design the platform REDUCES the federal deficit at its published return rather than adding to it, and every combination of its own settings closes the gap. What it now depends on is the spread between the fund's return and the government's real borrowing cost of 1.5625 percent: at a 3 percent return the platform adds about $0.12 trillion a year again once transition interest is counted, and the stochastic analysis puts the fund's year-60 range at $27 trillion to $333 trillion at the conservative return. The alternative design, where the payroll tax funds its own wind-down, is retained in the model and published in 05_Transition_Design_Options_And_Costs.docx.</w:t>
      </w:r>
    </w:p>
    <w:p>
      <w:pPr>
        <w:spacing w:before="2400"/>
      </w:pPr>
      <w:r>
        <w:t xml:space="preserve"/>
      </w:r>
    </w:p>
    <w:p>
      <w:pPr>
        <w:spacing w:after="100"/>
        <w:jc w:val="center"/>
      </w:pPr>
      <w:r>
        <w:rPr>
          <w:rFonts w:ascii="Arial" w:cs="Arial" w:eastAsia="Arial" w:hAnsi="Arial"/>
          <w:b/>
          <w:bCs/>
          <w:color w:val="1F4E78"/>
          <w:sz w:val="46"/>
          <w:szCs w:val="46"/>
        </w:rPr>
        <w:t>FEDERAL FISCAL IMPACT ANALYSIS</w:t>
      </w:r>
    </w:p>
    <w:p>
      <w:pPr>
        <w:spacing w:after="200"/>
        <w:jc w:val="center"/>
      </w:pPr>
      <w:r>
        <w:rPr>
          <w:rFonts w:ascii="Arial" w:cs="Arial" w:eastAsia="Arial" w:hAnsi="Arial"/>
          <w:b/>
          <w:bCs/>
          <w:color w:val="1F4E78"/>
          <w:sz w:val="46"/>
          <w:szCs w:val="46"/>
        </w:rPr>
        <w:t xml:space="preserve">AND COSTS</w:t>
      </w:r>
    </w:p>
    <w:p>
      <w:pPr>
        <w:spacing w:after="200"/>
        <w:jc w:val="center"/>
      </w:pPr>
      <w:r>
        <w:rPr>
          <w:rFonts w:ascii="Arial" w:cs="Arial" w:eastAsia="Arial" w:hAnsi="Arial"/>
          <w:i/>
          <w:iCs/>
          <w:color w:val="C00000"/>
          <w:sz w:val="28"/>
          <w:szCs w:val="28"/>
        </w:rPr>
        <w:t>Net Impact on Federal Deficit Across the Deployment Timeline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does the platform deliver to each citizen?</w:t>
      </w:r>
    </w:p>
    <w:p>
      <w:pPr>
        <w:spacing w:after="200"/>
        <w:jc w:val="center"/>
      </w:pPr>
      <w:r>
        <w:rPr>
          <w:rFonts w:ascii="Georgia" w:cs="Georgia" w:eastAsia="Georgia" w:hAnsi="Georgia"/>
          <w:i/>
          <w:iCs/>
          <w:color w:val="1A1A1A"/>
          <w:sz w:val="24"/>
          <w:szCs w:val="24"/>
        </w:rPr>
        <w:t xml:space="preserve">What does it cost them?</w:t>
      </w:r>
    </w:p>
    <w:p>
      <w:pPr>
        <w:spacing w:after="1200"/>
        <w:jc w:val="center"/>
      </w:pPr>
      <w:r>
        <w:rPr>
          <w:rFonts w:ascii="Georgia" w:cs="Georgia" w:eastAsia="Georgia" w:hAnsi="Georgia"/>
          <w:i/>
          <w:iCs/>
          <w:color w:val="1A1A1A"/>
          <w:sz w:val="24"/>
          <w:szCs w:val="24"/>
        </w:rPr>
        <w:t xml:space="preserve">And how do those numbers evolve as the platform deploys?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v1.10  ·  Created May 5, 2026 for v2.10  ·  Updated May 6, 2026 for v2.21 (dental/vision scope note in Honest Acknowledgments)  ·  Updated May 6, 2026 for v2.26.1 (broadband line updated to Path B; infrastructure fee revenue added; v2.26.1 patch notes)  ·  Updated May 6, 2026 for v2.26.2 (SIG-8: gross/net distinction added)  ·  Updated May 6, 2026 for v2.27.4 (RATE-DOC-MISSING: 0.5% and 2.5% rates explicitly documented in wealth tax architecture line)  ·  Updated May 6, 2026 for v2.30 (modified income tax architecture line added per item 81 substantiation; OPEN-3 closed at Federal Fiscal Impact Analysis (FFIA) level)  ·  Updated May 6, 2026 for v2.30.29 (RESEARCH-5 4 percent return parallel scenario added)  ·  Updated May 7, 2026 for v3.2.0 (Pillar Eight added; pillar count seven to eight)  ·  Updated May 10, 2026 for v3.7.15 (Pillar 3 component breakdown added) · content last changed v3.8.457</w:t>
      </w:r>
    </w:p>
    <w:p>
      <w:pPr>
        <w:jc w:val="center"/>
      </w:pPr>
      <w:r>
        <w:rPr>
          <w:rFonts w:ascii="Georgia" w:cs="Georgia" w:eastAsia="Georgia" w:hAnsi="Georgia"/>
          <w:color w:val="595959"/>
          <w:sz w:val="20"/>
          <w:szCs w:val="20"/>
        </w:rPr>
        <w:t xml:space="preserve">Ohio  ·  2026</w:t>
      </w:r>
    </w:p>
    <w:p>
      <w:pPr>
        <w:jc w:val="center"/>
      </w:pPr>
      <w:r>
        <w:rPr>
          <w:b/>
        </w:rPr>
        <w:t xml:space="preserve">RESTATED (v3.8.341). </w:t>
      </w:r>
      <w:r>
        <w:t>This document's headline figures are restated on the rebuilt models (v3.8.340), which phase workers out of Social Security oldest first and repay them their pre-enactment contributions with interest at the government's own borrowing cost. At the platform's published 4 percent fund return the platform REDUCES the federal deficit by [[FIG:FIG-deficit-impact]] at mature steady state, and [[FIG:FIG-deficit-impact-with-transition-interest]] once interest on the transition debt is counted. It reduces the deficit in steady state at any return above about 3 percent, or about 6.9 percent counting that interest. The scenario passages below are restated on the same basis. WHAT REMAINS OPEN: whether interest on transition borrowing is charged against the platform or refinanced as ordinary federal debt is registered as ASSUM-transition-debt-treatment and undecided; it changes the feasibility conclusion, and 05_Transition_Design_Options_And_Costs.docx sets out the options and their costs.</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IRS Statistics of Income 2023 baseline for tax-revenue projections; CMS National Health Expenditure data 2023 for healthcare spending; Census Bureau and BLS for population and labor force denominators; ASCE Infrastructure Report Card 2025 for civic infrastructure investment gaps; FAMILY Act modeling and state paid family leave program data for Pillar Eight cost projections; Quebec childcare program evaluations and U.S. childcare cost surveys for childcare cost projections; FCC and FTC data for broadband and identity-theft figures. Aggregate fiscal trajectories trace to the Combined Reform Model (04_Combined_Reform_Model.xlsx). Empirical claims requiring external credentialed review are tracked in Open Issues Registry RESEARCH items.</w:t>
      </w:r>
    </w:p>
    <w:p>
      <w:pPr>
        <w:pStyle w:val="Heading1"/>
        <w:spacing w:after="240" w:before="480"/>
      </w:pPr>
      <w:r>
        <w:rPr>
          <w:rFonts w:ascii="Arial" w:cs="Arial" w:eastAsia="Arial" w:hAnsi="Arial"/>
          <w:b/>
          <w:bCs/>
          <w:color w:val="1F4E78"/>
          <w:sz w:val="36"/>
          <w:szCs w:val="36"/>
        </w:rPr>
        <w:t>The Question This Document Addresses</w:t>
      </w:r>
    </w:p>
    <w:p>
      <w:pPr>
        <w:spacing w:after="240" w:line="340"/>
        <w:jc w:val="both"/>
      </w:pPr>
      <w:r>
        <w:rPr>
          <w:rFonts w:ascii="Georgia" w:cs="Georgia" w:eastAsia="Georgia" w:hAnsi="Georgia"/>
          <w:color w:val="1A1A1A"/>
          <w:sz w:val="24"/>
          <w:szCs w:val="24"/>
        </w:rPr>
        <w:t>The platform commits to substantial new federal spending across twelve pillars (three primary, three adjacent, Civic Infrastructure, Universal Paid Family Time, Universal Long-Term Care, Federal Housing Investment, Climate Architecture, plus Immigration Architecture) totaling approximately [[FIG:FIG-total-new-commitments]] per year at mature steady state; Pillar Eleven (Climate Architecture) is fiscally independent (revenue fully recycled); Pillar Twelve (Immigration Architecture) has gross expenditure of approximately $30-50 billion per year offset by positive net fiscal impact on the 10-to-20-year horizon per CBO scoring of comparable proposals (Pillar Ten adds approximately [[FIG:FIG-housing-commitment-gross]] gross with approximately $70 billion absorbed from existing federal housing program substitution and approximately [[FIG:FIG-housing-net-new]] in net new federal commitment) (Pillar Nine adds approximately [[FIG:FIG-ltc-commitment-gross]] gross before existing-program-substitution savings) at mature steady state. The platform also creates substantial new federal revenue through payroll contributions, modified income tax architecture, and Sovereign Fund disbursements. The Per-Citizen Benefits and Costs document and the Combined Reform Model develop the per-household and per-pillar fiscal pictures, but no single document presents the consolidated impact on the federal budget. This document fills that gap. A serious policy reviewer evaluating the platform will ask within minutes: what is the net impact on the federal deficit? An informed answer requires consolidating across pillars, accounting for absorbed existing programs, and being honest about how the answer changes between the early transition years and mature steady state.</w:t>
      </w:r>
    </w:p>
    <w:p>
      <w:pPr>
        <w:pStyle w:val="Heading1"/>
        <w:spacing w:after="240" w:before="480"/>
      </w:pPr>
      <w:r>
        <w:rPr>
          <w:rFonts w:ascii="Arial" w:cs="Arial" w:eastAsia="Arial" w:hAnsi="Arial"/>
          <w:b/>
          <w:bCs/>
          <w:color w:val="1F4E78"/>
          <w:sz w:val="36"/>
          <w:szCs w:val="36"/>
        </w:rPr>
        <w:t>Headline Numbers</w:t>
      </w:r>
    </w:p>
    <w:p>
      <w:pPr>
        <w:spacing w:after="240" w:line="340"/>
        <w:jc w:val="both"/>
      </w:pPr>
      <w:r>
        <w:rPr>
          <w:rFonts w:ascii="Georgia" w:cs="Georgia" w:eastAsia="Georgia" w:hAnsi="Georgia"/>
          <w:color w:val="1A1A1A"/>
          <w:sz w:val="24"/>
          <w:szCs w:val="24"/>
        </w:rPr>
        <w:t>At mature steady state (approximately Year 55 to 60 of the platform's deployment, when the Sovereign Fund corpus reaches about $137 trillion at the published 4 percent return [RESTATED v3.8.367] this read '~$122 trillion' with the v3.8.234 correction below, which is itself superseded.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the consolidated federal fiscal picture looks approximately as follows. Note the distinction that governs the timeline: the platform's spending commitments reach their steady-state scale relatively early (by approximately Year 30), but the fund-driven revenue that offsets them matures much later, as the corpus compounds toward $122 trillion [UPDATED v3.8.367: that correction is itself superseded. With Social Security absorbed the corpus is about $137 trillion at the platform's published 4 percent return, $345 trillion at 6] around Year 60. The picture below is that later, fund-mature state. New federal commitments under the platform total approximately [[FIG:FIG-total-new-commitments]] per year. Existing federal programs absorbed by the platform total approximately [[FIG:FIG-existing-programs-absorbed]] per year, leaving net new federal spending of approximately [[FIG:FIG-net-new-spending]] per year. New federal revenue at mature steady state totals approximately [[FIG:FIG-new-revenue]] per year, including [[FIG:FIG-healthcare-contribution-revenue]] from the universal healthcare contribution, $279 billion from Childcare and Mental Health contributions combined (2.1 percent of the $13.30 trillion covered wage base; this read $230 billion, on a declared $11 trillion base), approximately zero net from the wage floor architecture (modest decrease for workers below their floors offset by surcharges on high earners), and Sovereign Fund disbursements at mature scale of approximately $0.93 trillion at the platform's published 4 percent real return, or $1.65 trillion at 6 percent (3 percent of the fund ledger's corpus in today's dollars in each case). [RESTATED v3.8.337: this read $1.9 and $2.9 trillion, which mixed dollar bases and omitted the retirement of the grandfathered workers; originally $2.7 trillion.] Net impact on the federal deficit at the sourced [[FIG:FIG-fund-real-return]] anchor is an ADDITION to the federal deficit of approximately $0.48 trillion per year in steady state, and at the platform's published 4 percent return an addition of approximately $0.55 trillion per year, or about $1.1 trillion including interest on the transition debt. The steady state reduces the deficit only if the fund earns about 5.6 percent or more; at 6 percent the steady-state reduction is approximately $0.17 trillion per year [RESTATED v3.8.337 in today's dollars, pillar by pillar, with the corrected transition] [RESTATED v3.8.333: this read 'a reduction of approximately $0.2 trillion per year'. That figure had no derivation and rested on the $3.0 trillion net new spending retired at v3.8.154. It is now net new spending minus new revenue at each return case, on the 2026 Social Security inputs and the measured wage base.] — meaning that, at the platform's published return, it does not yet reduce the existing federal deficit at mature steady state. v2.26.1 patch update: the broadband commitment shifted from Path A subsidy ($30B/year federal cost) to Path B federal ownership ($34B/year federal cost offset by $34B/year infrastructure fee revenue, net approximately zero), making the broadband pillar essentially cost-recovering from companies that benefit from the infrastructure rather than perpetually subsidized by federal taxpayers. For accounting clarity: the [[FIG:FIG-total-new-commitments]] total represents gross new federal commitments at mature steady state. After the Federal Infrastructure Fee revenue offset for the broadband line (~$34B/year), the net federal commitment is approximately $4.17 trillion per year. The difference is small (~0.8%) but the distinction matters for fiscal narrative purposes — the platform's federal commitment is $4.17T net, with $34B funded by infrastructure fee revenue from companies that benefit from the federally-owned broadband infrastructure.</w:t>
      </w:r>
      <w:r>
        <w:t xml:space="preserve"> [RESTATED v3.8.341: the fund's published band is now [[FIG:FIG-fund-corpus-year60]] at 4 percent to about $84 trillion at 7 percent in today's dollars, mature disbursements [[FIG:FIG-fund-disbursements-mature]], and coverage of commitments [[FIG:FIG-fund-coverage-share]] at 4 percent.]</w:t>
      </w:r>
    </w:p>
    <w:p>
      <w:pPr>
        <w:spacing w:after="240" w:line="340"/>
        <w:jc w:val="both"/>
      </w:pPr>
      <w:r>
        <w:rPr>
          <w:rFonts w:ascii="Georgia" w:cs="Georgia" w:eastAsia="Georgia" w:hAnsi="Georgia"/>
          <w:color w:val="1A1A1A"/>
          <w:sz w:val="24"/>
          <w:szCs w:val="24"/>
        </w:rPr>
        <w:t>This headline number requires three substantial caveats that the rest of this document develops. First, the headline assumes the Sovereign Fund grows as projected through approximately Year 60, which depends on the fund's real return. The platform publishes 4 percent as its lead assumption, below Norway's realized 4.28 percent. At 4 percent the platform adds about $0.55 trillion a year to the federal deficit in steady state. The interest on the transition debt is [[FIG:FIG-transition-debt-interest]], so in full the platform [[FIG:FIG-deficit-impact-with-transition-interest]]. The steady state breaks even only above about 5.6 percent. [RESTATED v3.8.333: this described 6 percent as the assumption and 4 percent as the pessimistic case. The author set 4 percent as the published lead at v3.8.270.] Second, the headline reflects mature steady state. Through the long fund-accumulation period (Year 1 through roughly Year 50, with the corpus reaching about $58.9 trillion by Year 30 [UPDATED v3.8.367 from ~$8.37 trillion] en route to ~$122 trillion [UPDATED v3.8.367: that correction is itself superseded. With Social Security absorbed the corpus is about $137 trillion at the platform's published 4 percent return, $345 trillion at 6] by Year 60), the Sovereign Fund covers a steadily rising but for many years modest fraction of platform commitments. The transition-year deficit impact is substantially larger and is addressed in detail below. Third, the headline figures are framework estimates rather than precise accounting; the underlying numbers are approximations subject to the limitations addressed in the substantiation documents for each pillar.</w:t>
      </w:r>
    </w:p>
    <w:p>
      <w:pPr>
        <w:pStyle w:val="Heading1"/>
        <w:spacing w:after="240" w:before="480"/>
      </w:pPr>
      <w:r>
        <w:rPr>
          <w:rFonts w:ascii="Arial" w:cs="Arial" w:eastAsia="Arial" w:hAnsi="Arial"/>
          <w:b/>
          <w:bCs/>
          <w:color w:val="1F4E78"/>
          <w:sz w:val="36"/>
          <w:szCs w:val="36"/>
        </w:rPr>
        <w:t>New Federal Commitments at Mature Steady State</w:t>
      </w:r>
    </w:p>
    <w:p>
      <w:pPr>
        <w:spacing w:after="240" w:line="340"/>
        <w:jc w:val="both"/>
      </w:pPr>
      <w:r>
        <w:rPr>
          <w:rFonts w:ascii="Georgia" w:cs="Georgia" w:eastAsia="Georgia" w:hAnsi="Georgia"/>
          <w:color w:val="1A1A1A"/>
          <w:sz w:val="24"/>
          <w:szCs w:val="24"/>
        </w:rPr>
        <w:t>The platform's commitments at mature steady state break down across the three categories of pillars. Primary pillars: Community Contribution Plan adds approximately [[FIG:FIG-ccp-net-new]] in net new federal commitments (DEFINITION UNRESOLVED as of v3.8.9: this figure is circularly sourced. It cites this document, and this paragraph cites the figure, so neither carries a derivation. Its own registry status is illustrative pending validation. The Combined Reform Model shows the Plan running a NET POSITIVE cash flow at mature steady state of approximately $3.27 trillion a year at the platform's anchored 4.28 percent real return, ranging from $1.30 trillion at 3 percent to $8.96 trillion at 6 percent. This is new revenue less net new spending, taken from the current model; the earlier figure of roughly $950 billion to $1.2 trillion predated the today's-dollars rebuild, the band phase-out and absorption., so a residual annual federal commitment at maturity is not what that model describes; the figure may be a transition-era cost carried into a mature-steady-state total. Tracked as RESEARCH-44. Retained pending resolution rather than removed or restated, because both would change the headline composition on an unverified basis. Additional federal commitment is required for the transition population and certain edge cases). The Sovereign Education Fund commits approximately [[FIG:FIG-education-fund-net]] in net new spending (replacing existing federal education spending of approximately [[FIG:FIG-education-absorbed]], so gross commitment is [[FIG:FIG-education-fund-gross]]); the v3.7.14 architecture expansion is detailed in the paragraph that follows. Empirical Wage Floors is fiscally neutral at the federal level — it changes the architecture of federal income tax but does not directly add new spending.</w:t>
      </w:r>
    </w:p>
    <w:p>
      <w:pPr>
        <w:spacing w:before="480"/>
        <w:jc w:val="center"/>
      </w:pPr>
      <w:r>
        <w:rPr>
          <w:rFonts w:ascii="Arial" w:cs="Arial" w:eastAsia="Arial" w:hAnsi="Arial"/>
          <w:i/>
          <w:iCs/>
          <w:color w:val="595959"/>
          <w:sz w:val="16"/>
          <w:szCs w:val="16"/>
        </w:rPr>
        <w:t>Pillar Three architecture expansion (v3.7.14): the $250 billion net commitment under the expanded architecture covers undergraduate education at cost-based pricing (approximately $110-140 billion); master's-level education ($15-25 billion); doctoral tuition coverage for research and professional doctorates ($10-15 billion); doctoral living stipends at Pillar Two occupation-specific wage floors ($15-20 billion); the student-support counselor workforce excluding the mental-health portion handled by Pillar Six ($13-15 billion); the federal liaison program parallel to USDA Cooperative Extension Service ($0.5-0.6 billion); and the counselor-training pipeline during transition years ($2-3 billion). The pillar architecture is no-cap (citizens may pursue any number of fields and credentials within the age-thirty funding window subject to the academic-performance constraint that they are passing the programs in which they are enrolled). Detailed substantiation in the Sovereign Education Fund Substantiation document.</w:t>
      </w:r>
    </w:p>
    <w:p>
      <w:pPr>
        <w:spacing w:after="240" w:line="340"/>
        <w:jc w:val="both"/>
      </w:pPr>
      <w:r>
        <w:rPr>
          <w:rFonts w:ascii="Georgia" w:cs="Georgia" w:eastAsia="Georgia" w:hAnsi="Georgia"/>
          <w:color w:val="1A1A1A"/>
          <w:sz w:val="24"/>
          <w:szCs w:val="24"/>
        </w:rPr>
        <w:t>Adjacent pillars: Universal Healthcare commits approximately $3.2 trillion ([[FIG:FIG-healthcare-percapita-target]] per capita target times approximately [[FIG:FIG-us-population]] Americans; roughly [[FIG:FIG-healthcare-commitment]] across the per-capita target and population base). This is the platform's largest single commitment. Note: the $9,500 per-capita target is at the optimistic (low) end of a defensible $9,500 to $11,000 range (RESEARCH-4); a central target implies a higher gross commitment (approximately $3.4 trillion). The upward effect on the headline totals is flagged for reconciliation review. Universal Childcare commits approximately [[FIG:FIG-childcare-commitment]] (Quebec model adapted to US scale). Universal Mental Health Access commits approximately [[FIG:FIG-mentalhealth-commitment]] (multi-method central approximately $145 billion; $200 billion retained as a conservative upper anchor, pending RESEARCH-8) (universal voluntary access through expanded provider networks).  (Source baseline: see Sources_And_Derivation_Convention.docx.)</w:t>
      </w:r>
    </w:p>
    <w:p>
      <w:pPr>
        <w:spacing w:after="240" w:line="340"/>
        <w:jc w:val="both"/>
      </w:pPr>
      <w:r>
        <w:rPr>
          <w:rFonts w:ascii="Georgia" w:cs="Georgia" w:eastAsia="Georgia" w:hAnsi="Georgia"/>
          <w:color w:val="1A1A1A"/>
          <w:sz w:val="24"/>
          <w:szCs w:val="24"/>
        </w:rPr>
        <w:t>Civic Infrastructure pillar: The six components together commit approximately [[FIG:FIG-civic-infrastructure-commitment]] at mature steady state. Universal Broadband (Path B per v2.26): $34 billion per year gross federal cost (capital recovery + operations + maintenance + future capacity reserve), offset by approximately [[FIG:FIG-infrastructure-fee-revenue]] per year in infrastructure fee revenue from companies (per item 78), for net federal cost of approximately zero. Was Path A subsidy at $30 billion per year prior to v2.26 architectural shift. Transportation Infrastructure: $100 billion per year (mid-range of the $80-120 billion estimate). Water and Sewer Systems: $50 billion per year (mid-range of the $40-60 billion estimate). Public Spaces: $27 billion per year (mid-range of $22-32 billion). Civic Technology: $12 billion per year (mid-range of $10-15 billion). Energy Grid Modernization: $65 billion per year (mid-range of $50-80 billion).</w:t>
      </w:r>
    </w:p>
    <w:p>
      <w:pPr>
        <w:spacing w:after="240" w:line="340"/>
        <w:jc w:val="both"/>
      </w:pPr>
      <w:r>
        <w:rPr>
          <w:rFonts w:ascii="Georgia" w:cs="Georgia" w:eastAsia="Georgia" w:hAnsi="Georgia"/>
          <w:color w:val="1A1A1A"/>
          <w:sz w:val="24"/>
          <w:szCs w:val="24"/>
        </w:rPr>
        <w:t>Other commitments: The Refundable Transition Bridge Credit (added in v2.1 to handle households whose net position would otherwise worsen during transition) is a transition-finance mechanism whose cost follows an inverted-U over the roughly thirty-year transition (peak approximately fifty billion dollars representative, peaking near one hundred fifteen billion dollars around Year 20, and near zero at mature steady state); it is financed through the transition layer rather than the steady-state progressive target (see COST-6). Total platform commitments aggregate to approximately [[FIG:FIG-total-new-commitments]] per year at mature steady state. (Source baseline: see Sources_And_Derivation_Convention.docx.)</w:t>
      </w:r>
    </w:p>
    <w:p>
      <w:pPr>
        <w:spacing w:before="480"/>
        <w:jc w:val="center"/>
      </w:pPr>
      <w:r>
        <w:rPr>
          <w:rFonts w:ascii="Arial" w:cs="Arial" w:eastAsia="Arial" w:hAnsi="Arial"/>
          <w:i/>
          <w:iCs/>
          <w:color w:val="595959"/>
          <w:sz w:val="16"/>
          <w:szCs w:val="16"/>
        </w:rPr>
        <w:t>Pillar Nine (Universal Long-Term Care): added in v3.3.0. Funded by 1.0 percent combined payroll contribution (0.6 percent employer; 0.4 percent employee) generating approximately $133 billion per year in steady-state revenue [RESTATED v3.8.367] this read $250 billion, which rested on a base near GDP; one percent of the platform's own $13.3 trillion base is $133 billion. THE SAME ERROR WAS CORRECTED IN 02_We_The_People_Platform at v3.8.352 and 05_Pillars_Borrow_Independently at v3.8.358. Benefit cost projection at full implementation approximately [[FIG:FIG-ltc-commitment-gross]] per year, depending on covered-population, per-individual-cost, and home-versus-institutional-care-mix assumptions. Gap between contribution revenue and benefit cost is closed by three offsetting mechanisms: federal Medicaid long-term services and supports (approximately $150.9 billion, at the sealed CMS-64 federal share of 0.587) and the state matching that continues (approximately $106.1 billion) [RESTATED v3.8.367] from round approximations of $200 billion and $120 billion; these are the pillar ledger's sourced values; and high-earner-architecture backstop for residual gap. Net new federal commitment at full implementation approximately [[FIG:FIG-ltc-net-new]] per year (gross benefit cost minus existing-program-substitution savings minus the portion absorbed by contribution revenue). Detailed financing math is in 08_Universal_Long_Term_Care_Substantiation.docx. (Source baseline: see Sources_And_Derivation_Convention.docx.)</w:t>
      </w:r>
    </w:p>
    <w:p>
      <w:pPr>
        <w:spacing w:before="480"/>
        <w:jc w:val="center"/>
      </w:pPr>
      <w:r>
        <w:rPr>
          <w:rFonts w:ascii="Arial" w:cs="Arial" w:eastAsia="Arial" w:hAnsi="Arial"/>
          <w:i/>
          <w:iCs/>
          <w:color w:val="595959"/>
          <w:sz w:val="16"/>
          <w:szCs w:val="16"/>
        </w:rPr>
        <w:t>Pillar Ten (Federal Housing Investment): added in v3.4.0. Funded by federal general revenue drawn from the platform's high-earner architecture plus existing federal housing program substitution. Aggregate commitment approximately $145 billion per year at full implementation, comprising approximately $70 billion absorbed from existing federal housing programs (Section 8 vouchers approximately $32B; project-based rental assistance approximately $15B; public housing operating and capital approximately $10B; LIHTC tax expenditure approximately $10B) plus approximately $75 billion in net new federal commitment. Net new federal commitment funded by allocation of high-earner architecture revenue, which generates approximately $700B to $1T per year at maturity per the Combined Reform Model. Components: universal rental assistance ($70-100B); federal-state conditional grants for housing supply expansion ($10-25B); public housing capital investment ($10B); supportive housing ($5-10B); Housing First homelessness response ($3-5B). Detailed financing is in 08_Federal_Housing_Investment_Substantiation.docx. (Source baseline: see Sources_And_Derivation_Convention.docx.)</w:t>
      </w:r>
    </w:p>
    <w:p>
      <w:pPr>
        <w:spacing w:before="480"/>
        <w:jc w:val="center"/>
      </w:pPr>
      <w:r>
        <w:rPr>
          <w:rFonts w:ascii="Arial" w:cs="Arial" w:eastAsia="Arial" w:hAnsi="Arial"/>
          <w:i/>
          <w:iCs/>
          <w:color w:val="595959"/>
          <w:sz w:val="16"/>
          <w:szCs w:val="16"/>
        </w:rPr>
        <w:t>Pillar Eleven (Climate Architecture): added in v3.5.0. Funded by an upstream carbon price on fossil fuels at the point of extraction or import. Starting price $50/ton CO2-equivalent rising to $100/ton over approximately a 10-year transition. Coverage approximately 75-80% of U.S. CO2-equivalent emissions. Border adjustment applies the price to imported goods based on embedded carbon content. Gross revenue approximately $300-400B/yr at the mature $100/ton price (~3-4B tons covered); $150-200B/yr at the starting $50/ton price. Revenue declines over time as the price's incentive effect produces decarbonization. Revenue is split 50/50: ~$150-200B/yr at maturity flows to a per-capita carbon dividend (each adult equal share; each child half-share capped at two per household; ~$600-700/adult/year; ~$2,000/family of four/year at maturity); ~$150-200B/yr at maturity flows to clean-energy infrastructure investment (~25% of total revenue), transmission grid modernization (~10%), just-transition support (~10%), and clean-energy innovation (~5%). Net fiscal impact: zero on federal bottom line because all revenue is either dividended or invested. Pillar Eleven is fiscally independent of the platform's other commitments. Detailed substantiation is in 08_Climate_Architecture_Substantiation.docx. (Source baseline: see Sources_And_Derivation_Convention.docx.)</w:t>
      </w:r>
    </w:p>
    <w:p>
      <w:pPr>
        <w:spacing w:before="480"/>
        <w:jc w:val="center"/>
      </w:pPr>
      <w:r>
        <w:rPr>
          <w:rFonts w:ascii="Arial" w:cs="Arial" w:eastAsia="Arial" w:hAnsi="Arial"/>
          <w:i/>
          <w:iCs/>
          <w:color w:val="595959"/>
          <w:sz w:val="16"/>
          <w:szCs w:val="16"/>
        </w:rPr>
        <w:t>Pillar Twelve (Immigration Architecture): added in v3.6.0. Funded by federal general revenue supplemented by user fees. Aggregate gross federal commitment ~$30-50B/yr at full implementation. Six components: pathway to legal status (~$2-3B admin); legal immigration modernization (~$5-7B USCIS capacity, partly user-fee funded); asylum and refugee processing (~$5-8B); workforce visa reform (~$3-5B); integration support (~$3-5B); border management modernization (~$8-12B, largely rationalizing existing CBP/ICE budgets). Net fiscal impact: positive on 10-to-20-year horizon. The National Academies 2017 consensus report concluded immigrants and their descendants are a substantial net fiscal positive over the long horizon. CBO scoring of S.744 (2013) projected ~$1 trillion in deficit reduction over 20 years; comparable subsequent proposals (U.S. Citizenship Act of 2021) produced similar magnitudes. Pillar Twelve's gross expenditure is more than offset by tax revenue increases over the medium-to-long horizon, producing positive net fiscal impact. Detailed substantiation in 08_Immigration_Architecture_Substantiation.docx. (Source baseline: see Sources_And_Derivation_Convention.docx.)</w:t>
      </w:r>
    </w:p>
    <w:p>
      <w:pPr>
        <w:pStyle w:val="Heading1"/>
        <w:spacing w:after="240" w:before="480"/>
      </w:pPr>
      <w:r>
        <w:rPr>
          <w:rFonts w:ascii="Arial" w:cs="Arial" w:eastAsia="Arial" w:hAnsi="Arial"/>
          <w:b/>
          <w:bCs/>
          <w:color w:val="1F4E78"/>
          <w:sz w:val="36"/>
          <w:szCs w:val="36"/>
        </w:rPr>
        <w:t>Existing Federal Programs Absorbed</w:t>
      </w:r>
    </w:p>
    <w:p>
      <w:pPr>
        <w:spacing w:after="240" w:line="340"/>
        <w:jc w:val="both"/>
      </w:pPr>
      <w:r>
        <w:rPr>
          <w:rFonts w:ascii="Georgia" w:cs="Georgia" w:eastAsia="Georgia" w:hAnsi="Georgia"/>
          <w:color w:val="1A1A1A"/>
          <w:sz w:val="24"/>
          <w:szCs w:val="24"/>
        </w:rPr>
        <w:t>The platform absorbs or restructures several existing federal programs whose function is replaced by platform commitments. The Federal Program Integration Plan document details the architectural relationships; this section enumerates the fiscal magnitudes.</w:t>
      </w:r>
    </w:p>
    <w:p>
      <w:pPr>
        <w:spacing w:after="240" w:line="340"/>
        <w:jc w:val="both"/>
      </w:pPr>
      <w:r>
        <w:rPr>
          <w:rFonts w:ascii="Georgia" w:cs="Georgia" w:eastAsia="Georgia" w:hAnsi="Georgia"/>
          <w:color w:val="1A1A1A"/>
          <w:sz w:val="24"/>
          <w:szCs w:val="24"/>
        </w:rPr>
        <w:t>Medicare's approximately $1.0 trillion in current federal program spending (CMS National Health Expenditure data, 2023) is restructured into universal healthcare's funding architecture (Medicare continues to operate for Americans 65+ but its funding flows through the universal healthcare contribution rather than dedicated payroll tax and beneficiary premiums). Federal Medicaid spending of approximately $600 billion is partially absorbed: approximately $300 billion of this represents Medicaid's coverage of working-age adults and children that universal healthcare directly replaces. The remaining $300 billion of federal Medicaid spending continues for long-term care, HCBS waivers, and disability-specific services that universal healthcare does not cover. ACA marketplace subsidies of approximately $90 billion are absorbed entirely (universal healthcare replaces the function of subsidized exchange coverage). Existing federal education programs of approximately [[FIG:FIG-education-absorbed]] are absorbed by the Sovereign Education Fund (measured from Federal Student Aid data and the published loan subsidy rate at v3.8.170; the figure previously read $75 billion, which implied a subsidy rate more than four times the published one). Miscellaneous existing federal programs (broadband subsidies under Universal Service Fund (USF)/BEAD, identity infrastructure programs, federal portions of childcare assistance, etc.) totaling approximately $30 billion are absorbed by the relevant platform commitments.</w:t>
      </w:r>
    </w:p>
    <w:p>
      <w:pPr>
        <w:spacing w:after="240" w:line="340"/>
        <w:jc w:val="both"/>
      </w:pPr>
      <w:r>
        <w:rPr>
          <w:rFonts w:ascii="Georgia" w:cs="Georgia" w:eastAsia="Georgia" w:hAnsi="Georgia"/>
          <w:color w:val="1A1A1A"/>
          <w:sz w:val="24"/>
          <w:szCs w:val="24"/>
        </w:rPr>
        <w:t>Total existing programs absorbed: approximately [[FIG:FIG-existing-programs-absorbed]] per year. This is critical to understand: the platform's [[FIG:FIG-total-new-commitments]] in commitments is substantially offset by absorbing [[FIG:FIG-existing-programs-absorbed]] in current federal spending that the platform replaces. The net new federal spending is approximately [[FIG:FIG-net-new-spending]] per year, not [[FIG:FIG-total-new-commitments]].</w:t>
      </w:r>
    </w:p>
    <w:p>
      <w:pPr>
        <w:pStyle w:val="Heading1"/>
        <w:spacing w:after="240" w:before="480"/>
      </w:pPr>
      <w:r>
        <w:rPr>
          <w:rFonts w:ascii="Arial" w:cs="Arial" w:eastAsia="Arial" w:hAnsi="Arial"/>
          <w:b/>
          <w:bCs/>
          <w:color w:val="1F4E78"/>
          <w:sz w:val="36"/>
          <w:szCs w:val="36"/>
        </w:rPr>
        <w:t>New Federal Revenue at Mature Steady State</w:t>
      </w:r>
    </w:p>
    <w:p>
      <w:pPr>
        <w:spacing w:after="240" w:line="340"/>
        <w:jc w:val="both"/>
      </w:pPr>
      <w:r>
        <w:rPr>
          <w:rFonts w:ascii="Georgia" w:cs="Georgia" w:eastAsia="Georgia" w:hAnsi="Georgia"/>
          <w:color w:val="1A1A1A"/>
          <w:sz w:val="24"/>
          <w:szCs w:val="24"/>
        </w:rPr>
        <w:t>Platform revenue at mature steady state comes from six main sources (the Federal Infrastructure Fee was added in v2.26). The universal healthcare contribution at 4% employer plus 2% employee (6% total payroll) on the platform's covered wage base of approximately $13.3 trillion in W-2 wages plus self-employment [RESTATED v3.8.367] this read $11 trillion; the base was fixed at $13.3006 trillion from the sealed 2026 Trustees Report at v3.8.333, and EVERY CONTRIBUTION FIGURE IN THIS SECTION WAS COMPUTED ON THE OLD BASE income generates approximately [[FIG:FIG-healthcare-contribution-revenue]] per year. The universal childcare contribution at 0.8% employer plus 0.5% employee (1.3% total) generates approximately $173 billion [RESTATED v3.8.367] from $143 billion, on the $13.3 trillion base. The Universal Mental Health Access contribution at 0.5% employer plus 0.3% employee (0.8% total) generates approximately $106 billion [RESTATED v3.8.367] from $88 billion. The wage floor architecture's net revenue impact is approximately zero — workers earning below their occupation's floor pay no federal income tax (a reduction relative to current law of approximately $200 billion per year), but high-income surcharges and the elimination of various current-law deductions roughly offset (an increase of approximately $200 billion per year). Wealth tax architecture has three components: graduated additional income brackets above $250K (5%/10%/15% at $250K/$500K/$1M for single filers, doubled for MFJ); a small wealth surcharge above the $10M net worth threshold at 0.5% annually; and a wealth tax above the $50M net worth threshold at 0.6% annually that funds Sovereign Investment Fund corpus accumulation. Combined revenue: approximately $200 billion per year (refined to approximately $225 billion per year per item 81 substantiation; see v2.30 update note immediately below). The 0.5% small-wealth-surcharge rate was calibrated in the canonical OPEN-2 resolution (v2.26.3, Open Issues Registry (OIR) Section 10) as a defensible interpretation of 'small.' The wealth tax rate above $50M was originally set at 2.5% — the midpoint of a documented 2-3% range — when the base above that threshold was a synthetic placeholder. The v3.7.577 real-data calibration (2026 CPS ASEC and SCF) measured that base near $11 trillion, far larger than the placeholder implied, so the rate that raises the targeted residual funding need of approximately $65 billion is 0.6% annually rather than 2.5%. The larger measured base — still a conservative floor, because public survey data undercounts the very top of the wealth distribution — is documented headroom, not a reason to set the rate above the funding need.</w:t>
      </w:r>
    </w:p>
    <w:p>
      <w:pPr>
        <w:spacing w:before="480"/>
        <w:jc w:val="center"/>
      </w:pPr>
      <w:r>
        <w:rPr>
          <w:rFonts w:ascii="Arial" w:cs="Arial" w:eastAsia="Arial" w:hAnsi="Arial"/>
          <w:i/>
          <w:iCs/>
          <w:color w:val="595959"/>
          <w:sz w:val="16"/>
          <w:szCs w:val="16"/>
        </w:rPr>
        <w:t>v2.30 update: explicit three-component breakdown of the modified income tax architecture and wealth tax architecture, per Federal Income Tax Revenue Under the Platform's Modified Architecture substantiation. (1) Modified income tax architecture (wage floor exemption replacing standard deduction plus canonical OPEN-2 graduated surcharge): approximately $130 billion per year mature steady-state The wage floor exemption component of this figure has been restated: the exemption is capped at $25,000, costs approximately $67 billion a year, and is funded from the wealth tax rather than from withdrawing the exemption above the threshold. See 05_Federal_Income_Tax_Revenue_Modified_Architecture. at median behavioral elasticity (Elasticity of Taxable Income (ETI) 0.4); range $110 to $140 billion across the literature elasticity range (ETI 0.2 to 0.8). (2) Small wealth surcharge above $10 million net worth at 0.5 percent (threshold pegged to roughly the top one percent of households by net worth per the Federal Reserve Survey of Consumer Finances and re-anchored as that distribution shifts; the 0.5 percent rate benchmarked to the conservative end of existing national wealth taxes — see Wage Floors as Tax Architecture): approximately $35 billion per year, on approximately 75,000 households with net worth above the $10M threshold. (3) Wealth tax above $50 million net worth at 0.6 percent: approximately $60 billion per year, on approximately 30,000 households with net worth above the $50M threshold; this revenue funds Sovereign Investment Fund corpus accumulation rather than annual platform commitments. Combined: approximately [[FIG:FIG-progressive-mechanisms-revenue-gross]] per year, modestly above the original $200 billion estimate but within the reasonable uncertainty range for order-of-magnitude estimates. Item 81 provides filer-count derivations, behavioral elasticity sensitivity analysis, distributional impact analysis, and the recommended FFIA reconciliation that this paragraph implements. Definitive estimates require external microsimulation modeling (Joint Committee on Taxation (JCT)/Tax Policy Center (TPC)/Penn Wharton tools); the order-of-magnitude estimates here are appropriate for platform-level planning. OPEN-3 (per OIR Section 2 and v2.29 item 81 plus v2.30 enhancements) is substantively addressed at the FFIA accounting level by this update.</w:t>
      </w:r>
    </w:p>
    <w:p>
      <w:pPr>
        <w:spacing w:after="240" w:line="340"/>
        <w:jc w:val="both"/>
      </w:pPr>
      <w:r>
        <w:rPr>
          <w:rFonts w:ascii="Georgia" w:cs="Georgia" w:eastAsia="Georgia" w:hAnsi="Georgia"/>
          <w:color w:val="1A1A1A"/>
          <w:sz w:val="24"/>
          <w:szCs w:val="24"/>
        </w:rPr>
        <w:t>Sovereign Fund disbursements at mature scale are the largest single revenue source. The Sovereign Fund Governance Design document projects fund maturity at approximately $122 trillion [UPDATED v3.8.367: that correction is itself superseded. With Social Security absorbed the corpus is about $137 trillion at the platform's published 4 percent return, $345 trillion at 6] by Year 60. By Year 30 the fund's corpus has accumulated to approximately $58.9 trillion [UPDATED v3.8.367 from $8.37 trillion: the fund now holds that at year 30 because absorption puts the payroll tax to work in it] (per the Combined Reform Model SF:Balance trajectory at the 6% base; the corpus then compounds to approximately $122 trillion [UPDATED v3.8.367: that correction is itself superseded. With Social Security absorbed the corpus is about $137 trillion at the platform's published 4 percent return, $345 trillion at 6] by Year 60). At a 6% real return rate, mature disbursement coverage of platform commitments (reached around Year 60, when the corpus is at its ~$122 trillion [UPDATED v3.8.367: that correction is itself superseded. With Social Security absorbed the corpus is about $137 trillion at the platform's published 4 percent return, $345 trillion at 6] scale) is approximately 54%, equivalent to approximately $2.7 trillion per year (54% of the [[FIG:FIG-total-new-commitments]] in total commitments); at the sourced [[FIG:FIG-fund-real-return]] baseline the fund covers roughly 28 percent. Including the Federal Infrastructure Fee added in v2.26 (approximately [[FIG:FIG-infrastructure-fee-revenue]] per year), total platform revenue at mature steady state thus aggregates to approximately [[FIG:FIG-new-revenue]] per year. (the Sovereign Fund corpus projection over a 60-year horizon assumes a 6 percent real return base case; the methodology is documented in the Combined Reform Model and the Mathematical Models documentation, and a 4 percent conservative scenario producing approximately [[FIG:FIG-fund-corpus-year60]] is documented in the Open Issues Registry as research item RESEARCH-5)</w:t>
      </w:r>
      <w:r>
        <w:t xml:space="preserve"> [RESTATED v3.8.341: the fund's published band is now [[FIG:FIG-fund-corpus-year60]] at 4 percent to about $84 trillion at 7 percent in today's dollars, mature disbursements [[FIG:FIG-fund-disbursements-mature]], and coverage of commitments [[FIG:FIG-fund-coverage-share]] at 4 percent.]</w:t>
      </w:r>
    </w:p>
    <w:p>
      <w:pPr>
        <w:pStyle w:val="Heading1"/>
      </w:pPr>
      <w:r>
        <w:t>Funding Derivation for the Progressive Mechanisms</w:t>
      </w:r>
    </w:p>
    <w:p>
      <w:pPr/>
      <w:r>
        <w:t>The three high-earner mechanisms above — the graduated income surcharge, the wealth surcharge above ten million dollars, and the wealth tax above fifty million dollars — are designed to raise approximately two hundred twenty-five billion dollars gross, realizing approximately one hundred ninety-eight billion dollars after the behavioral response modeled in the Combined Reform Model and the Fiscal Control Panel. A natural question is how much these mechanisms actually need to raise: which platform commitments are funded from this progressive, general-revenue side rather than from a dedicated stream or from Sovereign Fund disbursements. This section derives that figure backward from the commitments themselves.</w:t>
      </w:r>
    </w:p>
    <w:p>
      <w:pPr/>
      <w:r>
        <w:t>Most pillars do not draw on the progressive mechanisms at all. Universal Healthcare, Universal Childcare, Universal Mental Health Access, Universal Paid Family Time, and Universal Long-Term Care are each funded by a dedicated payroll contribution (six percent, one-point-three percent, zero-point-eight percent, zero-point-four percent, and one-point-zero percent of covered wages respectively). Climate Architecture is funded by its own upstream carbon price. Where a pillar's benefit cost exceeds its dedicated contribution — most consequentially Long-Term Care, whose benefit projection of five hundred twenty-five to seven hundred billion dollars exceeds its roughly two hundred fifty billion dollars in payroll revenue — the gap is closed by the three mechanisms the pillar's own substantiation names: savings from existing federal long-term care expenditure, which currently funds approximately two hundred billion dollars a year through Medicaid and is freed as Pillar Nine substitutes for Medicaid long-term care; savings from existing state expenditure of approximately one hundred twenty billion dollars a year, part of which is captured for the federal program; and the high-earner architecture as backstop revenue for any residual. CORRECTED v3.8.231: this sentence previously assigned the gap to Sovereign Fund disbursements. It was written without the pillar's financing section, which names the Sovereign Fund nowhere, and the fund was carrying two hundred seventy-five to four hundred fifty billion dollars a year on the strength of it.</w:t>
      </w:r>
    </w:p>
    <w:p>
      <w:pPr/>
      <w:r>
        <w:t>The commitments that fall on the progressive, general-revenue side at mature steady state are two. Federal Housing Investment is funded, in the platform's own language, from general revenue drawn from the high-earner architecture, contributing approximately seventy-five billion dollars in net-new federal cost after existing federal housing program substitution (COST-3). Immigration Architecture is funded by general revenue supplemented by user fees, approximately forty billion dollars net, within a documented thirty-to-fifty-billion-dollar range (COST-5). The sum is approximately one hundred fifteen billion dollars — the derived funding-adequacy target for the progressive mechanisms at mature steady state. The Refundable Transition Bridge Credit is deliberately not part of this steady-state target: it is a transition-finance mechanism, not an ongoing obligation. Its cost follows an inverted-U over the roughly thirty-year transition (peak near one hundred fifteen billion dollars around Year 20, approximately two-point-two-nine trillion dollars cumulative, and near zero once the transition completes), and it is carried in the transition-financing layer rather than the steady-state target.</w:t>
      </w:r>
    </w:p>
    <w:p>
      <w:pPr/>
      <w:r>
        <w:t>Two allocation corrections were applied in deriving this figure, both confirmed against the platform's pillar and substantiation documents. First, the Long-Term Care benefit-cost gap is funded by Sovereign Fund disbursements rather than the progressive mechanisms, consistent with the platform's stated architecture in which the Sovereign Fund covers approximately sixty-five percent of commitments at maturity. CORRECTED v3.8.232: this share dates from the v2-era platform, when fewer pillars carried their own financing, and it no longer holds. Every pillar's own financing section was read at v3.8.231: ten of the twelve fund themselves, and the fund's assignment is the retirement shortfall through year nineteen, education's advance while its fund is short, and civic infrastructure permanently. MEASURED with tools/fund_ledger.py against the five trillion dollars of commitments: fund draws are 1.16 percent at year twenty, 3.59 percent at year thirty, 6.78 percent at year forty and 5.77 percent at year sixty. SOVEREIGN_FUND_RELATIONSHIP_TABLE.md carries the per-pillar detail. Second, Universal Paid Family Time is funded by its own dedicated zero-point-four percent payroll contribution, not by general revenue; the Federal Housing substantiation document states this explicitly, naming Housing as the lone general-revenue exception precisely because the other adjacent pillars carry dedicated contributions.</w:t>
      </w:r>
    </w:p>
    <w:p>
      <w:pPr/>
      <w:r>
        <w:t>Four interim benchmark cost models were constructed to support the pillars whose cost figures previously rested on aggregate benchmarks rather than formula-driven derivation, each sourced to current analog-program data and carried with an explicit uncertainty band: Universal Paid Family Time at approximately forty-three billion dollars gross, plus or minus twenty-five percent, anchored to the FAMILY Act modeling and state paid-leave program experience; Universal Long-Term Care at approximately six hundred thirty-one billion dollars gross and three hundred seventy-four billion dollars net-new after Medicaid long-term-services absorption, plus or minus twenty-six percent; Federal Housing Investment at approximately one hundred forty-five billion dollars gross and seventy-five billion dollars net-new after Housing and Urban Development program substitution, plus or minus twenty-two percent; and Climate Architecture carbon revenue at approximately two hundred fifty-seven billion dollars at a seventy-five-dollar mid-path carbon price. Current-versus-proposed comparison is sharpest where the platform absorbs an identifiable federal program: roughly seventy billion dollars of existing Housing and Urban Development spending and roughly two hundred fifty-seven billion dollars of existing Medicaid long-term-services spending are absorbed rather than added.</w:t>
      </w:r>
    </w:p>
    <w:p>
      <w:pPr/>
      <w:r>
        <w:t>Against the derived one hundred fifteen billion dollar steady-state adequacy target, the progressive mechanisms at the canonical zero-point-six percent wealth-tax rate realize approximately one hundred ninety-four to one hundred ninety-eight billion dollars, leaving a steady-state surplus of approximately seventy-nine billion dollars at the median. That surplus is not unallocated: it is banked in the Sovereign Fund as a transition reserve toward the Refundable Transition Bridge Credit, reducing the net transition borrowing the platform would otherwise carry. The Fiscal Control Panel's funding-adequacy circuit breaker evaluates realized revenue against this one-hundred-fifteen-billion-dollar steady-state need and reads clear at the canonical rate. An earlier derivation folded a fifty-billion-dollar Bridge Credit line into the target, producing one hundred sixty-five billion dollars; because the Bridge Credit is a transition mechanism that has phased out at mature steady state, separating it gives the more accurate one-hundred-fifteen-billion-dollar steady-state figure and reframes the surplus as the transition reserve. These cost models and the backward funding derivation are interim benchmarks — sourced and reproducible, but pending the credentialed external validation tracked as the COST-series items in the Open Issues Registry.</w:t>
      </w:r>
    </w:p>
    <w:p>
      <w:r>
        <w:t>The Bridge Credit's transition cost is met from two sources: the steady-state surplus reserve described above, and transition borrowing. The Combined Reform Model's year-by-year cash flow shows this is absorbed — with the Bridge Credit included, the cumulative federal position dips to approximately negative one-point-eight-eight trillion dollars at its 2046 peak and then recovers to positive by Year 30, while the Sovereign Fund accumulates to approximately one hundred twenty-two trillion dollars over the horizon. The Bridge Credit is therefore fully financed; it is financed through the transition layer rather than the steady-state progressive target, and is documented year by year in the Refundable Transition Bridge Credit cost model (COST-6).</w:t>
      </w:r>
    </w:p>
    <w:p>
      <w:pPr/>
      <w:r>
        <w:t>A robustness simulation tests whether this conclusion survives the uncertainty in its inputs rather than holding only at the central estimate, and it now runs in two layers. In the steady-state layer, drawing the behavioral-response parameters and the two implementation-cost figures across their documented ranges over one hundred thousand iterations, the progressive mechanisms cover the one-hundred-fifteen-billion-dollar steady-state obligation in one hundred percent of scenarios, with a surplus reserve whose fifth percentile is still approximately sixty-two billion dollars. Both obligation bands are now sourced rather than assumed: Housing carries the COST-3 plus-or-minus twenty-two percent band, and Immigration carries the documented thirty-to-fifty-billion-dollar range from COST-5. In the transition layer, that surplus reserve covers the Bridge Credit's thirty-year average cost of roughly seventy-six billion dollars in about sixty percent of scenarios; the peak-year cost of roughly one hundred fifteen billion dollars is met by transition borrowing, which the Combined Reform Model shows the system absorbs. The simulation is reproducible and parameterized, and is documented alongside the derivation in the Backward Funding Model, pending the same credentialed external validation.</w:t>
      </w:r>
    </w:p>
    <w:p>
      <w:pPr>
        <w:pStyle w:val="Heading1"/>
        <w:spacing w:after="240" w:before="480"/>
      </w:pPr>
      <w:r>
        <w:rPr>
          <w:rFonts w:ascii="Arial" w:cs="Arial" w:eastAsia="Arial" w:hAnsi="Arial"/>
          <w:b/>
          <w:bCs/>
          <w:color w:val="1F4E78"/>
          <w:sz w:val="36"/>
          <w:szCs w:val="36"/>
        </w:rPr>
        <w:t>Net Impact on the Federal Deficit</w:t>
      </w:r>
    </w:p>
    <w:p>
      <w:pPr>
        <w:spacing w:after="240" w:line="340"/>
        <w:jc w:val="both"/>
      </w:pPr>
      <w:r>
        <w:rPr>
          <w:rFonts w:ascii="Georgia" w:cs="Georgia" w:eastAsia="Georgia" w:hAnsi="Georgia"/>
          <w:color w:val="1A1A1A"/>
          <w:sz w:val="24"/>
          <w:szCs w:val="24"/>
        </w:rPr>
        <w:t>Combining the above: net new federal spending is [[FIG:FIG-total-new-commitments]] (commitments) minus [[FIG:FIG-existing-programs-absorbed]] (absorbed programs) equals [[FIG:FIG-net-new-spending]]. New federal revenue is [[FIG:FIG-new-revenue]]. The net change in federal deficit is approximately [[FIG:FIG-new-revenue]] in revenue minus [[FIG:FIG-net-new-spending]] in net new spending, net of Social Security transition costs that vary with fund performance, yields a deficit reduction of approximately $2.72 trillion at the [[FIG:FIG-fund-real-return]] baseline [RESTATED v3.8.367] from $0.2 trillion — meaning the platform reduces the existing federal deficit by approximately $0.2 trillion per year at the [[FIG:FIG-fund-real-return]] baseline (more at higher returns, and a small increase under a pessimistic 2 percent return). Adding this to the current federal deficit ([[FIG:FIG-current-deficit-baseline]], FY2025 actual), the platform's mature steady-state federal deficit would be approximately [[FIG:FIG-mature-deficit]] per year at the sourced [[FIG:FIG-fund-real-return]] baseline return (about $8.88 trillion at an optimistic 6 percent return) [RESTATED v3.8.367] from $1.2 trillion, compared to [[FIG:FIG-current-deficit-baseline]] currently.</w:t>
      </w:r>
    </w:p>
    <w:p>
      <w:pPr>
        <w:spacing w:after="240" w:line="340"/>
        <w:jc w:val="both"/>
      </w:pPr>
      <w:r>
        <w:rPr>
          <w:rFonts w:ascii="Georgia" w:cs="Georgia" w:eastAsia="Georgia" w:hAnsi="Georgia"/>
          <w:color w:val="1A1A1A"/>
          <w:sz w:val="24"/>
          <w:szCs w:val="24"/>
        </w:rPr>
        <w:t>This is the platform's mature steady-state fiscal impact (at the fund's ~Year-60 mature scale): a deficit reduction of approximately $3.27 trillion per year at the 4.28% anchored return and approximately $8.88 trillion at an optimistic 6% [RESTATED v3.8.367] from $100 billion and $600 billion, and a small increase under a pessimistic 2%, achieved by combining absorbed program savings, new contribution revenue, and Sovereign Fund disbursements. Importantly, this is a fiscal improvement relative to the current trajectory — the platform delivers its commitments while reducing rather than increasing the federal deficit, contrary to the assumption many readers might make about a platform with [[FIG:FIG-total-new-commitments]] in commitments.</w:t>
      </w:r>
    </w:p>
    <w:p>
      <w:pPr>
        <w:pStyle w:val="Heading1"/>
        <w:spacing w:after="240" w:before="480"/>
      </w:pPr>
      <w:r>
        <w:rPr>
          <w:rFonts w:ascii="Arial" w:cs="Arial" w:eastAsia="Arial" w:hAnsi="Arial"/>
          <w:b/>
          <w:bCs/>
          <w:color w:val="1F4E78"/>
          <w:sz w:val="36"/>
          <w:szCs w:val="36"/>
        </w:rPr>
        <w:t>The Transition Years Look Different</w:t>
      </w:r>
    </w:p>
    <w:p>
      <w:pPr>
        <w:spacing w:after="240" w:line="340"/>
        <w:jc w:val="both"/>
      </w:pPr>
      <w:r>
        <w:rPr>
          <w:rFonts w:ascii="Georgia" w:cs="Georgia" w:eastAsia="Georgia" w:hAnsi="Georgia"/>
          <w:color w:val="1A1A1A"/>
          <w:sz w:val="24"/>
          <w:szCs w:val="24"/>
        </w:rPr>
        <w:t>The mature steady-state picture above hides the substantial fiscal challenge of the transition years. In Year 1 of the platform, the Sovereign Fund corpus is small (the fund is still in early accumulation), and Sovereign Fund disbursements cover only approximately 5% of platform commitments rather than the mature ~54%. This means transition-year revenue is dramatically lower than mature steady-state revenue. The transition-year deficit impact is substantially worse than the mature-state picture.</w:t>
      </w:r>
    </w:p>
    <w:p>
      <w:pPr>
        <w:pStyle w:val="Heading2"/>
        <w:spacing w:after="160" w:before="360"/>
      </w:pPr>
      <w:r>
        <w:rPr>
          <w:rFonts w:ascii="Arial" w:cs="Arial" w:eastAsia="Arial" w:hAnsi="Arial"/>
          <w:b/>
          <w:bCs/>
          <w:color w:val="1F4E78"/>
          <w:sz w:val="28"/>
          <w:szCs w:val="28"/>
        </w:rPr>
        <w:t>Year 1-5 Transition Picture</w:t>
      </w:r>
    </w:p>
    <w:p>
      <w:pPr>
        <w:spacing w:after="240" w:line="340"/>
        <w:jc w:val="both"/>
      </w:pPr>
      <w:r>
        <w:rPr>
          <w:rFonts w:ascii="Georgia" w:cs="Georgia" w:eastAsia="Georgia" w:hAnsi="Georgia"/>
          <w:color w:val="1A1A1A"/>
          <w:sz w:val="24"/>
          <w:szCs w:val="24"/>
        </w:rPr>
        <w:t>In the platform's early years, the federal deficit is substantially worse than current. Platform commitments scale up as the various pillars come online, but the Sovereign Fund corpus is still small for many years (approximately $8.37 trillion by Year 30 en route to ~$122 trillion [UPDATED v3.8.367: that correction is itself superseded. With Social Security absorbed the corpus is about $137 trillion at the platform's published 4 percent return, $345 trillion at 6] by Year 60), so fund disbursements cover only a low single-digit percentage of commitments through the first few decades. Most of the funding burden falls on the new contribution revenues and on general revenue (effectively, deficit financing). The Year 1 incremental deficit impact is approximately [[FIG:FIG-transition-year1-incremental-deficit]], built up from the pillars by tools/pillar_rampup_model.py [RESTATED v3.8.346: this read 'a reasonable estimate of approximately $1.5 trillion', which had no build-up and is close to the platform's MATURE net cost; the build-out peaks at $1.70 trillion in year 6] (added to the current [[FIG:FIG-current-deficit-baseline]] baseline, producing a Year 1 federal deficit of approximately $2.1 trillion). This is the political and economic challenge of the transition: the platform's mature benefits are real, but the transition years require substantial federal borrowing to bridge from the current state to the mature steady state.</w:t>
      </w:r>
    </w:p>
    <w:p>
      <w:pPr>
        <w:spacing w:after="240" w:line="340"/>
        <w:jc w:val="both"/>
      </w:pPr>
      <w:r>
        <w:rPr>
          <w:rFonts w:ascii="Georgia" w:cs="Georgia" w:eastAsia="Georgia" w:hAnsi="Georgia"/>
          <w:color w:val="1A1A1A"/>
          <w:sz w:val="24"/>
          <w:szCs w:val="24"/>
        </w:rPr>
        <w:t>This pattern is not unique to the platform. Major federal program launches (Social Security in 1935, Medicare in 1965, ACA in 2010, the Inflation Reduction Act in 2022) all front-loaded their fiscal impact while building toward longer-term sustainability. The platform's transition is more substantial than any of those because the platform encompasses more pillars, but the structural pattern (front-loaded transition cost, longer-term fiscal improvement) is well-established.</w:t>
      </w:r>
    </w:p>
    <w:p>
      <w:pPr>
        <w:pStyle w:val="Heading2"/>
        <w:spacing w:after="160" w:before="360"/>
      </w:pPr>
      <w:r>
        <w:rPr>
          <w:rFonts w:ascii="Arial" w:cs="Arial" w:eastAsia="Arial" w:hAnsi="Arial"/>
          <w:b/>
          <w:bCs/>
          <w:color w:val="1F4E78"/>
          <w:sz w:val="28"/>
          <w:szCs w:val="28"/>
        </w:rPr>
        <w:t>Year 6-15 Transition Picture</w:t>
      </w:r>
    </w:p>
    <w:p>
      <w:pPr>
        <w:spacing w:after="240" w:line="340"/>
        <w:jc w:val="both"/>
      </w:pPr>
      <w:r>
        <w:rPr>
          <w:rFonts w:ascii="Georgia" w:cs="Georgia" w:eastAsia="Georgia" w:hAnsi="Georgia"/>
          <w:color w:val="1A1A1A"/>
          <w:sz w:val="24"/>
          <w:szCs w:val="24"/>
        </w:rPr>
        <w:t>The fund's coverage of commitments rises only gradually as the corpus compounds: it remains in the low single digits through Year 30 (corpus ~$8.37 trillion), reaches roughly 10% by Year 40, about a quarter by Year 50, and its mature ~54% only around Year 60 (corpus ~$122 trillion [UPDATED v3.8.367: that correction is itself superseded. With Social Security absorbed the corpus is about $137 trillion at the platform's published 4 percent return, $345 trillion at 6]). Correspondingly, the incremental deficit impact relative to current state improves slowly at first and then more rapidly in the later decades as fund disbursements scale. The platform reaches its mature steady state of approximately $900 billion in deficit reduction around Year 55 to 60, when the fund is at full scale, not in the first few decades. THE FAILURE-SCENARIO FIGURES IN THIS SECTION ARE SCALED FROM A $900 BILLION DEFICIT-REDUCTION BASELINE THAT HAS SINCE BEEN RESTATED. At the platform's anchored 4.28 percent real return the mature deficit reduction is approximately $3.27 trillion a year, not $900 billion. THE SCENARIOS' DIRECTION AND THEIR ARGUMENT ARE UNAFFECTED -- low uptake improves the federal fiscal picture while the platform fails its mission, which is the point being made -- BUT THEIR MAGNITUDES ARE NOT CURRENT and are to be re-derived against the restated baseline.  (Source baseline: see Sources_And_Derivation_Convention.docx.)</w:t>
      </w:r>
      <w:r>
        <w:t xml:space="preserve"> [RESTATED v3.8.341: the fund's published band is now [[FIG:FIG-fund-corpus-year60]] at 4 percent to about $84 trillion at 7 percent in today's dollars, mature disbursements [[FIG:FIG-fund-disbursements-mature]], and coverage of commitments [[FIG:FIG-fund-coverage-share]] at 4 percent.]</w:t>
      </w:r>
    </w:p>
    <w:p>
      <w:pPr>
        <w:pStyle w:val="Heading2"/>
        <w:spacing w:after="160" w:before="360"/>
      </w:pPr>
      <w:r>
        <w:rPr>
          <w:rFonts w:ascii="Arial" w:cs="Arial" w:eastAsia="Arial" w:hAnsi="Arial"/>
          <w:b/>
          <w:bCs/>
          <w:color w:val="1F4E78"/>
          <w:sz w:val="28"/>
          <w:szCs w:val="28"/>
        </w:rPr>
        <w:t>Cumulative Transition Cost</w:t>
      </w:r>
    </w:p>
    <w:p>
      <w:pPr>
        <w:spacing w:after="240" w:line="340"/>
        <w:jc w:val="both"/>
      </w:pPr>
      <w:r>
        <w:rPr>
          <w:rFonts w:ascii="Georgia" w:cs="Georgia" w:eastAsia="Georgia" w:hAnsi="Georgia"/>
          <w:color w:val="1A1A1A"/>
          <w:sz w:val="24"/>
          <w:szCs w:val="24"/>
        </w:rPr>
        <w:t>Summing the transition years' incremental deficit impacts produces a cumulative additional federal borrowing of about [[FIG:FIG-transition-cumulative-borrowing]] over the first 25 years for the Social Security transition alone, and more once the other pillars' start-up years are counted, which no model yet does. [RESTATED v3.8.337: this read $8-12 trillion, a declared range with no recorded basis.] [MEASURED v3.8.296, AND THE GAP IS LARGE. The Combined Reform Model, reproduced exactly against its own published outputs, gives 3.88 trillion of balance deterioration over those same 25 years at the old 3.0 percent rate and 4.11 trillion at the 4.0 percent rate decided at v3.8.295 -- for the SOCIAL SECURITY transition. The $8-12 trillion is two to three times that, and is reconcilable only if the other pillars add 4 to 8 trillion of transition deficit. NOTHING IN THE PACKAGE RECORDS THAT DERIVATION. The range is left standing rather than replaced, because a partial measurement is not a better number than an unexplained one -- but a reader should know which part is measured and which is not.] This is real money. It is also smaller than several historical fiscal commitments — the federal government has committed similar magnitudes to financial crisis responses (approximately $4 trillion across the 2008 crisis programs and the COVID-19 response combined) and to defense over comparable periods (approximately $20 trillion across the Cold War era, normalized to current dollars). The platform's transition cost is large but not unprecedented.</w:t>
      </w:r>
    </w:p>
    <w:p>
      <w:pPr>
        <w:pStyle w:val="Heading1"/>
        <w:spacing w:after="240" w:before="480"/>
      </w:pPr>
      <w:r>
        <w:rPr>
          <w:rFonts w:ascii="Arial" w:cs="Arial" w:eastAsia="Arial" w:hAnsi="Arial"/>
          <w:b/>
          <w:bCs/>
          <w:color w:val="1F4E78"/>
          <w:sz w:val="36"/>
          <w:szCs w:val="36"/>
        </w:rPr>
        <w:t>Sensitivity to Sovereign Fund Returns</w:t>
      </w:r>
    </w:p>
    <w:p>
      <w:pPr>
        <w:spacing w:after="240" w:line="340"/>
        <w:jc w:val="both"/>
      </w:pPr>
      <w:r>
        <w:rPr>
          <w:rFonts w:ascii="Georgia" w:cs="Georgia" w:eastAsia="Georgia" w:hAnsi="Georgia"/>
          <w:color w:val="1A1A1A"/>
          <w:sz w:val="24"/>
          <w:szCs w:val="24"/>
        </w:rPr>
        <w:t>The mature steady-state fiscal picture depends critically on the Sovereign Fund's investment returns. The platform's projections assume 6% real returns. The Sovereign Fund Governance Design document substantiates this assumption, noting it is at the optimistic end of large institutional fund performance (Norway's fund achieves approximately 4% real over its 28-year history; US public pension funds typically achieve 3-5% real).</w:t>
      </w:r>
    </w:p>
    <w:p>
      <w:pPr>
        <w:spacing w:after="240" w:line="340"/>
        <w:jc w:val="both"/>
      </w:pPr>
      <w:r>
        <w:t>Sensitivity analysis to fund returns. The Sovereign Fund's mature corpus and what it can pay out move with the return it earns: [[FIG:FIG-fund-corpus-year60]] at the published 4 percent, rising to about $345 trillion at 6 percent and about $559 trillion at 7 percent, all in today's dollars. Mature disbursements are [[FIG:FIG-fund-disbursements-mature]] at 4 percent and about $10.4 trillion at 6 percent. The platform's steady-state deficit effect follows: it REDUCES the deficit by about $2.72 trillion a year at 4 percent, is close to neutral around 3 percent, and by about $8.88 trillion at 6 percent. [RESTATED v3.8.367] from $0.33 trillion. [RESTATED v3.8.341: this passage described a reduction shrinking from $900 billion to $400 billion, which rested on a $122 trillion [retired v3.8.234] corpus and a $2.7 trillion disbursement, both retired.]</w:t>
      </w:r>
    </w:p>
    <w:p>
      <w:pPr>
        <w:spacing w:after="240" w:line="340"/>
        <w:jc w:val="both"/>
      </w:pPr>
      <w:r>
        <w:rPr>
          <w:rFonts w:ascii="Georgia" w:cs="Georgia" w:eastAsia="Georgia" w:hAnsi="Georgia"/>
          <w:color w:val="1A1A1A"/>
          <w:sz w:val="24"/>
          <w:szCs w:val="24"/>
        </w:rPr>
        <w:t>The honest framing is that the platform's mature fiscal benefit is highly dependent on Sovereign Fund performance. The Per-Citizen Benefits and Costs document acknowledges this in its honest acknowledgments section. The platform's economic case is robust at 6% real returns, modestly positive at 4% real returns, and approximately neutral at 2% real returns. Below 2% real returns sustained over 30 years, the platform would not deliver the projected fiscal improvement and would require either reducing commitments, increasing contribution rates, or accepting a higher steady-state federal deficit.</w:t>
      </w:r>
    </w:p>
    <w:p>
      <w:pPr>
        <w:pStyle w:val="Heading1"/>
        <w:spacing w:after="240" w:before="480"/>
      </w:pPr>
      <w:r>
        <w:rPr>
          <w:rFonts w:ascii="Arial" w:cs="Arial" w:eastAsia="Arial" w:hAnsi="Arial"/>
          <w:b/>
          <w:bCs/>
          <w:color w:val="1F4E78"/>
          <w:sz w:val="36"/>
          <w:szCs w:val="36"/>
        </w:rPr>
        <w:t>Sensitivity to Behavioral Economics Uptake</w:t>
      </w:r>
    </w:p>
    <w:p>
      <w:pPr>
        <w:spacing w:after="240" w:line="340"/>
        <w:jc w:val="both"/>
      </w:pPr>
      <w:r>
        <w:rPr>
          <w:rFonts w:ascii="Georgia" w:cs="Georgia" w:eastAsia="Georgia" w:hAnsi="Georgia"/>
          <w:color w:val="1A1A1A"/>
          <w:sz w:val="24"/>
          <w:szCs w:val="24"/>
        </w:rPr>
        <w:t>The mature steady-state fiscal picture and the household savings figure depend on the assumption that platform programs achieve high uptake among eligible households. The Behavioral Economics and Uptake Friction document examines this assumption in detail and identifies five exposure points where uptake may be lower than the platform requires for full benefit delivery. The honest framing of uptake risk is therefore that it threatens benefit delivery rather than fiscal outcomes — lower uptake means fewer households receive the platform's intended benefits, which the platform should care about even though it would technically improve the federal fiscal picture.</w:t>
      </w:r>
    </w:p>
    <w:p>
      <w:pPr>
        <w:spacing w:after="240" w:line="340"/>
        <w:jc w:val="both"/>
      </w:pPr>
      <w:r>
        <w:rPr>
          <w:rFonts w:ascii="Georgia" w:cs="Georgia" w:eastAsia="Georgia" w:hAnsi="Georgia"/>
          <w:color w:val="1A1A1A"/>
          <w:sz w:val="24"/>
          <w:szCs w:val="24"/>
        </w:rPr>
        <w:t>The platform's design has architectural protections that reduce uptake exposure for the most consequential programs. Universal healthcare is default-in: enrollment happens automatically rather than requiring claim filing. Universal childcare is claim-required but the parental-cap design produces strong household incentives to engage. The wage floor exemption applies through Direct File, removing tax preparation friction. The Refundable Transition Bridge Credit is mandatory distribution rather than claim-dependent. These design choices substantially reduce the number of households at risk of failing to engage.</w:t>
      </w:r>
    </w:p>
    <w:p>
      <w:pPr>
        <w:spacing w:after="240" w:line="340"/>
        <w:jc w:val="both"/>
      </w:pPr>
      <w:r>
        <w:rPr>
          <w:rFonts w:ascii="Georgia" w:cs="Georgia" w:eastAsia="Georgia" w:hAnsi="Georgia"/>
          <w:color w:val="1A1A1A"/>
          <w:sz w:val="24"/>
          <w:szCs w:val="24"/>
        </w:rPr>
        <w:t>Sensitivity analysis: at 90% uptake (consistent with EITC (Earned Income Tax Credit) participation rates among eligible filers), approximately 13 million households fail to receive their intended platform benefits, and aggregate household savings benefit is reduced by approximately $200 billion per year. The federal fiscal picture improves correspondingly — undisbursed benefits stay in the federal account — but the platform's purpose is delivering benefits, not accumulating them. The platform's steady-state deficit effect would improve by roughly the same $200 billion, from adding about $0.47 trillion a year to adding about $0.27 trillion [RESTATED v3.8.341 from an increase in deficit reduction from $900 billion to $1.1 trillion], but this is not a positive outcome from the platform's perspective.</w:t>
      </w:r>
    </w:p>
    <w:p>
      <w:pPr>
        <w:spacing w:after="240" w:line="340"/>
        <w:jc w:val="both"/>
      </w:pPr>
      <w:r>
        <w:rPr>
          <w:rFonts w:ascii="Georgia" w:cs="Georgia" w:eastAsia="Georgia" w:hAnsi="Georgia"/>
          <w:color w:val="1A1A1A"/>
          <w:sz w:val="24"/>
          <w:szCs w:val="24"/>
        </w:rPr>
        <w:t>At 80% uptake (substantially below current EITC participation), approximately 26 million households fail to receive intended benefits, and aggregate household savings benefit is reduced by approximately $400 billion. The federal fiscal picture would show approximately $1.3 trillion in deficit reduction, but the platform would have failed to deliver to roughly one in five eligible households. This scenario should trigger redesign of the underperforming programs rather than celebration of the improved fiscal picture.</w:t>
      </w:r>
    </w:p>
    <w:p>
      <w:pPr>
        <w:spacing w:after="240" w:line="340"/>
        <w:jc w:val="both"/>
      </w:pPr>
      <w:r>
        <w:rPr>
          <w:rFonts w:ascii="Georgia" w:cs="Georgia" w:eastAsia="Georgia" w:hAnsi="Georgia"/>
          <w:color w:val="1A1A1A"/>
          <w:sz w:val="24"/>
          <w:szCs w:val="24"/>
        </w:rPr>
        <w:t>At 70% uptake (consistent with the worst-performing means-tested programs), the platform's universal architecture is failing in practice even though it is succeeding on paper. Approximately 39 million households fail to engage. Aggregate household savings benefit would be reduced by approximately $600 billion per year, with the federal fiscal picture showing approximately $1.5 trillion in deficit reduction; this is the most extreme version of the dynamic where federal fiscal improvement coincides with platform mission failure. The platform would require substantial redesign of the underperforming programs, additional outreach investment, and potential structural changes to default-in or auto-enrollment mechanisms.</w:t>
      </w:r>
    </w:p>
    <w:p>
      <w:pPr>
        <w:spacing w:after="240" w:line="340"/>
        <w:jc w:val="both"/>
      </w:pPr>
      <w:r>
        <w:rPr>
          <w:rFonts w:ascii="Georgia" w:cs="Georgia" w:eastAsia="Georgia" w:hAnsi="Georgia"/>
          <w:color w:val="1A1A1A"/>
          <w:sz w:val="24"/>
          <w:szCs w:val="24"/>
        </w:rPr>
        <w:t>The honest framing is that uptake risk is real and material to the platform's purpose. The mature fiscal numbers in this document assume high uptake (95% or above for default-in programs, 85% or above for claim-required programs). If actual uptake falls substantially below these levels, the platform's fiscal picture improves but the platform's intended benefits are not delivered. The Behavioral Economics and Uptake Friction document outlines pilot study designs to measure uptake rates empirically and identify exposure points before nationwide deployment. The platform's architecture should be evaluated against actual uptake data rather than assumed uptake.</w:t>
      </w:r>
    </w:p>
    <w:p>
      <w:pPr>
        <w:spacing w:after="240" w:line="340"/>
        <w:jc w:val="both"/>
      </w:pPr>
      <w:r>
        <w:rPr>
          <w:rFonts w:ascii="Georgia" w:cs="Georgia" w:eastAsia="Georgia" w:hAnsi="Georgia"/>
          <w:color w:val="1A1A1A"/>
          <w:sz w:val="24"/>
          <w:szCs w:val="24"/>
        </w:rPr>
        <w:t>Accounting note on the federal fiscal picture in low-uptake scenarios. The framing above treats undisbursed benefits as automatically flowing to deficit reduction. Whether this treatment is accurate depends on the specific funding architecture for each platform commitment. If contribution rates are fixed at the high-uptake assumption and remain so regardless of actual uptake, undisbursed funds accumulate as program-specific surplus that may flow to general revenue (reducing deficit), accumulate as program reserves, or be carried forward to future-year disbursements, depending on statutory design. If contribution rates adjust dynamically to actual uptake, the federal fiscal picture is approximately neutral relative to the high-uptake baseline. The numbers above assume the fixed-rate architecture; an actuarial review of each program's funding statute would be required to confirm the accounting treatment for that program. The behavioral economics risk to platform mission delivery is real regardless of the accounting treatment of the fiscal picture.</w:t>
      </w:r>
    </w:p>
    <w:p>
      <w:pPr>
        <w:pStyle w:val="Heading1"/>
        <w:spacing w:after="240" w:before="480"/>
      </w:pPr>
      <w:r>
        <w:rPr>
          <w:rFonts w:ascii="Arial" w:cs="Arial" w:eastAsia="Arial" w:hAnsi="Arial"/>
          <w:b/>
          <w:bCs/>
          <w:color w:val="1F4E78"/>
          <w:sz w:val="36"/>
          <w:szCs w:val="36"/>
        </w:rPr>
        <w:t>Sensitivity to State Cooperation Refusal</w:t>
      </w:r>
    </w:p>
    <w:p>
      <w:pPr>
        <w:spacing w:after="240" w:line="340"/>
        <w:jc w:val="both"/>
      </w:pPr>
      <w:r>
        <w:rPr>
          <w:rFonts w:ascii="Georgia" w:cs="Georgia" w:eastAsia="Georgia" w:hAnsi="Georgia"/>
          <w:color w:val="1A1A1A"/>
          <w:sz w:val="24"/>
          <w:szCs w:val="24"/>
        </w:rPr>
        <w:t>Several platform commitments depend on federal-state cooperation for delivery. The State-Level Cooperation Requirements document examines this dependency in detail and identifies which programs are federal-direct (do not require state cooperation) versus federal-state cooperative (require state administrative or fiscal cooperation to deliver fully). The Medicaid expansion precedent — where approximately 10-20 percent of states refused to expand Medicaid for over a decade after the Affordable Care Act made expansion optional — establishes that persistent non-cooperation is realistic.</w:t>
      </w:r>
    </w:p>
    <w:p>
      <w:pPr>
        <w:spacing w:after="240" w:line="340"/>
        <w:jc w:val="both"/>
      </w:pPr>
      <w:r>
        <w:rPr>
          <w:rFonts w:ascii="Georgia" w:cs="Georgia" w:eastAsia="Georgia" w:hAnsi="Georgia"/>
          <w:color w:val="1A1A1A"/>
          <w:sz w:val="24"/>
          <w:szCs w:val="24"/>
        </w:rPr>
        <w:t>The platform's commitments vary in their state cooperation dependency. The wage floor exemption operates through federal income tax architecture and does not require state cooperation. Federal payroll-funded contributions for universal healthcare and Community Contribution Plan operate through existing federal infrastructure. The Sovereign Fund's accumulation is entirely federal. These elements are insulated from state cooperation risk.</w:t>
      </w:r>
    </w:p>
    <w:p>
      <w:pPr>
        <w:spacing w:after="240" w:line="340"/>
        <w:jc w:val="both"/>
      </w:pPr>
      <w:r>
        <w:rPr>
          <w:rFonts w:ascii="Georgia" w:cs="Georgia" w:eastAsia="Georgia" w:hAnsi="Georgia"/>
          <w:color w:val="1A1A1A"/>
          <w:sz w:val="24"/>
          <w:szCs w:val="24"/>
        </w:rPr>
        <w:t>Universal healthcare delivery has substantial state cooperation dependency. The platform's design assumes state Medicaid agencies, state health insurance regulators, and state-administered ACA marketplace functions transition into the universal architecture cooperatively. States that refuse cooperation require federal-direct fallback infrastructure, which is more expensive and slower to deploy than cooperative implementation. Per-state estimate: federal-direct healthcare fallback costs approximately $7 to $11 billion per year per refusing state of average size, reflecting the higher administrative cost of federal-direct delivery and the slower deployment timeline relative to cooperative implementation. The Medicaid expansion precedent — where 10 to 12 states refused expansion at any given time over the past decade, with the specific refusing states changing over time — provides a baseline for likely non-cooperation patterns.</w:t>
      </w:r>
    </w:p>
    <w:p>
      <w:pPr>
        <w:spacing w:after="240" w:line="340"/>
        <w:jc w:val="both"/>
      </w:pPr>
      <w:r>
        <w:rPr>
          <w:rFonts w:ascii="Georgia" w:cs="Georgia" w:eastAsia="Georgia" w:hAnsi="Georgia"/>
          <w:color w:val="1A1A1A"/>
          <w:sz w:val="24"/>
          <w:szCs w:val="24"/>
        </w:rPr>
        <w:t>Universal childcare delivery has even higher state cooperation dependency. The Quebec model relies on provincial administration; the platform's federal version depends on state administrative capacity for parent registration, provider licensing, and quality monitoring. States that refuse cooperation create coverage gaps that federal-direct fallback can only partially address; provider network development requires state-level licensing infrastructure that the federal government cannot easily replicate. Per-state estimate: federal-direct childcare fallback costs approximately $4 to $6 billion per year per refusing state of average size and still leaves coverage gaps for an estimated 30 to 50 percent of children in those states (driven by the difficulty of building provider networks without state licensing infrastructure).</w:t>
      </w:r>
    </w:p>
    <w:p>
      <w:pPr>
        <w:spacing w:after="240" w:line="340"/>
        <w:jc w:val="both"/>
      </w:pPr>
      <w:r>
        <w:rPr>
          <w:rFonts w:ascii="Georgia" w:cs="Georgia" w:eastAsia="Georgia" w:hAnsi="Georgia"/>
          <w:color w:val="1A1A1A"/>
          <w:sz w:val="24"/>
          <w:szCs w:val="24"/>
        </w:rPr>
        <w:t>Sensitivity analysis: under a scenario where 15 percent of states refuse cooperation with universal healthcare and universal childcare (consistent with the Medicaid expansion precedent of 7 to 8 states refusing at a given time), the federal fiscal cost increases by approximately $80 to $130 billion per year (7-8 states times $11-17B per state for combined healthcare and childcare federal-direct fallback). The platform's steady-state deficit effect worsens correspondingly, from adding about $0.47 trillion a year to adding about $0.55 to $0.60 trillion. [RESTATED v3.8.341: this described a reduction shrinking from $900 billion to $770-820 billion.] Households in non-cooperating states experience reduced platform benefit delivery, particularly for universal childcare where federal-direct fallback is incomplete. Under a scenario where 25 percent of states refuse cooperation (worse than the Medicaid expansion precedent, requiring approximately 12-13 states to refuse), federal fiscal cost increases by approximately $130 to $220 billion per year and the deficit reduction shrinks to approximately $680 to $770 billion.</w:t>
      </w:r>
    </w:p>
    <w:p>
      <w:pPr>
        <w:spacing w:after="240" w:line="340"/>
        <w:jc w:val="both"/>
      </w:pPr>
      <w:r>
        <w:rPr>
          <w:rFonts w:ascii="Georgia" w:cs="Georgia" w:eastAsia="Georgia" w:hAnsi="Georgia"/>
          <w:color w:val="1A1A1A"/>
          <w:sz w:val="24"/>
          <w:szCs w:val="24"/>
        </w:rPr>
        <w:t>The honest framing is that state cooperation is the second most consequential fiscal sensitivity (after Sovereign Fund returns). The platform's deployment strategy should include cooperation incentives, federal-direct fallback infrastructure development as a contingency, and explicit communication to households in non-cooperating states about what the platform delivers and what it does not. The State-Level Cooperation Requirements document outlines specific design elements for managing cooperation risk. The platform's mature fiscal picture should be evaluated under both cooperative and non-cooperative scenarios rather than assuming universal cooperation.</w:t>
      </w:r>
    </w:p>
    <w:p>
      <w:pPr>
        <w:pStyle w:val="Heading1"/>
        <w:spacing w:after="240" w:before="480"/>
      </w:pPr>
      <w:r>
        <w:rPr>
          <w:rFonts w:ascii="Arial" w:cs="Arial" w:eastAsia="Arial" w:hAnsi="Arial"/>
          <w:b/>
          <w:bCs/>
          <w:color w:val="1F4E78"/>
          <w:sz w:val="36"/>
          <w:szCs w:val="36"/>
        </w:rPr>
        <w:t>Comparison to Current Fiscal Trajectory</w:t>
      </w:r>
    </w:p>
    <w:p>
      <w:pPr>
        <w:spacing w:after="240" w:line="340"/>
        <w:jc w:val="both"/>
      </w:pPr>
      <w:r>
        <w:rPr>
          <w:rFonts w:ascii="Georgia" w:cs="Georgia" w:eastAsia="Georgia" w:hAnsi="Georgia"/>
          <w:color w:val="1A1A1A"/>
          <w:sz w:val="24"/>
          <w:szCs w:val="24"/>
        </w:rPr>
        <w:t>The platform should be compared not just to the current federal deficit ([[FIG:FIG-current-deficit-baseline]]) and the near-term projected baseline ([[FIG:FIG-deficit-nearterm-baseline]]) but to the projected long-term trajectory of federal finances under current law. The Congressional Budget Office projects that, absent policy change, the federal deficit will grow to approximately $3.5-4 trillion per year by 2055, driven primarily by aging-population effects on Social Security and Medicare, plus interest costs on accumulated debt. Federal debt held by the public is projected to reach approximately 195% of GDP by 2055 under current law, compared to approximately 99% currently.</w:t>
      </w:r>
    </w:p>
    <w:p>
      <w:pPr>
        <w:spacing w:after="240" w:line="340"/>
        <w:jc w:val="both"/>
      </w:pPr>
      <w:r>
        <w:rPr>
          <w:rFonts w:ascii="Georgia" w:cs="Georgia" w:eastAsia="Georgia" w:hAnsi="Georgia"/>
          <w:color w:val="1A1A1A"/>
          <w:sz w:val="24"/>
          <w:szCs w:val="24"/>
        </w:rPr>
        <w:t>Against this baseline, the platform's mature steady-state fiscal impact is more favorable than the headline numbers suggest. The platform's mature deficit of approximately [[FIG:FIG-mature-deficit]] at the sourced baseline return (current [[FIG:FIG-current-deficit-baseline]] minus the approximately $2.72 trillion baseline improvement; about $8.88 trillion at an optimistic 6 percent return) [RESTATED v3.8.367] compares to a projected [[FIG:FIG-deficit-mature-projected]] under current law (CBO extended baseline, real terms) in the same time frame. The platform's mature fiscal trajectory is substantially better than the current-law baseline for the same year. The Community Contribution Plan and Sovereign Fund architecture together address the underlying drivers (aging-population effects on Social Security, healthcare cost growth) that produce the current-law deficit explosion.  (Source baseline: see Sources_And_Derivation_Convention.docx.)</w:t>
      </w:r>
    </w:p>
    <w:p>
      <w:pPr>
        <w:pStyle w:val="Heading1"/>
        <w:spacing w:after="240" w:before="480"/>
      </w:pPr>
      <w:r>
        <w:rPr>
          <w:rFonts w:ascii="Arial" w:cs="Arial" w:eastAsia="Arial" w:hAnsi="Arial"/>
          <w:b/>
          <w:bCs/>
          <w:color w:val="1F4E78"/>
          <w:sz w:val="36"/>
          <w:szCs w:val="36"/>
        </w:rPr>
        <w:t>Sovereign Fund 4 Percent Return Parallel Scenario</w:t>
      </w:r>
    </w:p>
    <w:p>
      <w:pPr>
        <w:spacing w:after="240" w:line="340"/>
        <w:jc w:val="both"/>
      </w:pPr>
      <w:r>
        <w:rPr>
          <w:rFonts w:ascii="Georgia" w:cs="Georgia" w:eastAsia="Georgia" w:hAnsi="Georgia"/>
          <w:color w:val="1A1A1A"/>
          <w:sz w:val="24"/>
          <w:szCs w:val="24"/>
        </w:rPr>
        <w:t>The Combined Reform Model and this document's base-case projections use a 6% real return assumption for the Sovereign Fund. Open Issues Registry RESEARCH-5 noted that Norway's Government Pension Fund Global has produced approximately 4% real return over its operating history, and that a parallel platform projection at 4% real return would let readers see the platform's outcomes under Norway-equivalent conservative assumptions. The arithmetic was straightforward; what required pause was the platform's narrative preference for the base case. This section presents the parallel scenario at equal analytical weight to the base case.</w:t>
      </w:r>
    </w:p>
    <w:p>
      <w:pPr>
        <w:pStyle w:val="Heading2"/>
        <w:spacing w:after="160" w:before="360"/>
      </w:pPr>
      <w:r>
        <w:rPr>
          <w:rFonts w:ascii="Arial" w:cs="Arial" w:eastAsia="Arial" w:hAnsi="Arial"/>
          <w:b/>
          <w:bCs/>
          <w:color w:val="1F4E78"/>
          <w:sz w:val="28"/>
          <w:szCs w:val="28"/>
        </w:rPr>
        <w:t>Base Case Versus 4 Percent Scenario at Year 60</w:t>
      </w:r>
    </w:p>
    <w:p>
      <w:pPr>
        <w:spacing w:after="240" w:line="340"/>
        <w:jc w:val="both"/>
      </w:pPr>
      <w:r>
        <w:rPr>
          <w:rFonts w:ascii="Georgia" w:cs="Georgia" w:eastAsia="Georgia" w:hAnsi="Georgia"/>
          <w:color w:val="1A1A1A"/>
          <w:sz w:val="24"/>
          <w:szCs w:val="24"/>
        </w:rPr>
        <w:t>Sovereign Fund corpus at Year 60: approximately $137 trillion at the platform's published 4 percent return, $345 trillion at 6 [RESTATED v3.8.367] this read '$122 trillion [UPDATED v3.8.367: that correction is itself superseded. With Social Security absorbed the corpus is about $137 trillion at the platform's published 4 percent return, $345 trillion at 6]' -- the correction was itself superseded, first by the today's-dollars rebuild and then by absorption; 4 percent scenario approximately [[FIG:FIG-fund-corpus-year60]]. The difference is the compounding effect of two percentage points of real return over 60 years.  (Source baseline: see Sources_And_Derivation_Convention.docx.)</w:t>
      </w:r>
    </w:p>
    <w:p>
      <w:pPr>
        <w:spacing w:after="240" w:line="340"/>
        <w:jc w:val="both"/>
      </w:pPr>
      <w:r>
        <w:t>Mature steady-state disbursements: [[FIG:FIG-fund-disbursements-mature]] at the published 4 percent return, about $1.3 trillion at 5 percent and about $1.8 trillion at 6 percent, each 3 percent of the fund ledger's corpus in today's dollars. [RESTATED v3.8.341 from a $2.7 trillion base case at a 2.2 percent disbursement rate on a $122 trillion [retired v3.8.234] corpus.]</w:t>
      </w:r>
    </w:p>
    <w:p>
      <w:pPr>
        <w:spacing w:after="240" w:line="340"/>
        <w:jc w:val="both"/>
      </w:pPr>
      <w:r>
        <w:t>Federal deficit impact at maturity: the platform REDUCES the federal deficit by [[FIG:FIG-deficit-impact]] a year at the published 4 percent return and [[FIG:FIG-deficit-impact-with-transition-interest]] once interest on the transition debt is counted. At 6 percent the steady state reduces the deficit by about $0.33 trillion a year, though it still adds about $0.60 trillion once that interest is counted. [RESTATED v3.8.341: this passage claimed a reduction of about $900 billion in the base case and $400 billion at Norway-equivalent returns. The platform does not reduce the federal deficit at its published return.]</w:t>
      </w:r>
    </w:p>
    <w:p>
      <w:pPr>
        <w:spacing w:after="240" w:line="340"/>
        <w:jc w:val="both"/>
      </w:pPr>
      <w:r>
        <w:rPr>
          <w:rFonts w:ascii="Georgia" w:cs="Georgia" w:eastAsia="Georgia" w:hAnsi="Georgia"/>
          <w:color w:val="1A1A1A"/>
          <w:sz w:val="24"/>
          <w:szCs w:val="24"/>
        </w:rPr>
        <w:t>Pillar funding capacity: in the base case, Sovereign Fund disbursements exceed Sovereign Education Fund operating needs by Year 50, allowing expansion to mid-career retraining and other uses described in the Built For What's Coming companion document. In the 4 percent scenario, this surplus emerges in approximately Year 65-70 rather than Year 50, delaying expansion opportunities by 15-20 years.</w:t>
      </w:r>
    </w:p>
    <w:p>
      <w:pPr>
        <w:pStyle w:val="Heading2"/>
        <w:spacing w:after="160" w:before="360"/>
      </w:pPr>
      <w:r>
        <w:rPr>
          <w:rFonts w:ascii="Arial" w:cs="Arial" w:eastAsia="Arial" w:hAnsi="Arial"/>
          <w:b/>
          <w:bCs/>
          <w:color w:val="1F4E78"/>
          <w:sz w:val="28"/>
          <w:szCs w:val="28"/>
        </w:rPr>
        <w:t>What This Means for Platform Evaluation</w:t>
      </w:r>
    </w:p>
    <w:p>
      <w:pPr>
        <w:spacing w:after="240" w:line="340"/>
        <w:jc w:val="both"/>
      </w:pPr>
      <w:r>
        <w:rPr>
          <w:rFonts w:ascii="Georgia" w:cs="Georgia" w:eastAsia="Georgia" w:hAnsi="Georgia"/>
          <w:color w:val="1A1A1A"/>
          <w:sz w:val="24"/>
          <w:szCs w:val="24"/>
        </w:rPr>
        <w:t>The base case and the 4 percent scenario both produce architecturally successful outcomes: Sovereign Education Fund covers educational obligations indefinitely in both scenarios; pillar contributions to federal fiscal balance are positive in both scenarios; the platform's structural reforms (universal healthcare, universal childcare, Wage Floors, Federal Infrastructure Fee architecture) function independently of Sovereign Fund return performance. What changes between scenarios is the magnitude of fiscal benefit and the timeline at which surplus capacity emerges, not the platform's viability.</w:t>
      </w:r>
    </w:p>
    <w:p>
      <w:pPr>
        <w:spacing w:after="240" w:line="340"/>
        <w:jc w:val="both"/>
      </w:pPr>
      <w:r>
        <w:rPr>
          <w:rFonts w:ascii="Georgia" w:cs="Georgia" w:eastAsia="Georgia" w:hAnsi="Georgia"/>
          <w:color w:val="1A1A1A"/>
          <w:sz w:val="24"/>
          <w:szCs w:val="24"/>
        </w:rPr>
        <w:t>A reader evaluating the platform should understand that the 4 percent return is what the platform PUBLISHES and leads with, while 6 percent is an optimistic scenario consistent with long-run US equity returns [RESTATED v3.8.367] this framing was inverted: 6 percent was called the base case and 4 percent a stress scenario consistent with diversified global pension fund experience. The platform's fiscal architecture remains coherent across this range. Returns persistently below 4 percent (sustained 2-3 percent real returns over multiple decades) would represent a deeper structural problem requiring platform redesign, but would also represent a deeper structural problem in US capital markets that would require federal response regardless of platform deployment.</w:t>
      </w:r>
    </w:p>
    <w:p>
      <w:pPr>
        <w:pStyle w:val="Heading2"/>
        <w:spacing w:after="160" w:before="360"/>
      </w:pPr>
      <w:r>
        <w:rPr>
          <w:rFonts w:ascii="Arial" w:cs="Arial" w:eastAsia="Arial" w:hAnsi="Arial"/>
          <w:b/>
          <w:bCs/>
          <w:color w:val="1F4E78"/>
          <w:sz w:val="28"/>
          <w:szCs w:val="28"/>
        </w:rPr>
        <w:t>Honest Acknowledgment of Range</w:t>
      </w:r>
    </w:p>
    <w:p>
      <w:pPr>
        <w:spacing w:after="240" w:line="340"/>
        <w:jc w:val="both"/>
      </w:pPr>
      <w:r>
        <w:t>The platform's numbers should be presented as a range across fund returns rather than as a single case: [[FIG:FIG-fund-corpus-year60]] at 4 percent against about $345 trillion at 6 percent, disbursements of [[FIG:FIG-fund-disbursements-mature]] against about $10.4 trillion, and a steady-state deficit effect that REDUCES the deficit by about $2.72 trillion a year at 4 percent and $8.88 trillion at 6. [RESTATED v3.8.367] this read 'ADDS about $0.47 trillion a year at 4 percent and reduces it by about $0.33 trillion at 6'; absorption reversed the sign at v3.8.343. [RESTATED v3.8.341: the earlier headline pairing -- a $122 trillion [retired v3.8.234] fund, $2.7 trillion disbursements and $900 billion of deficit reduction -- is retired in full.]</w:t>
      </w:r>
    </w:p>
    <w:p>
      <w:pPr>
        <w:pStyle w:val="Heading1"/>
        <w:spacing w:after="240" w:before="480"/>
      </w:pPr>
      <w:r>
        <w:rPr>
          <w:rFonts w:ascii="Arial" w:cs="Arial" w:eastAsia="Arial" w:hAnsi="Arial"/>
          <w:b/>
          <w:bCs/>
          <w:color w:val="1F4E78"/>
          <w:sz w:val="36"/>
          <w:szCs w:val="36"/>
        </w:rPr>
        <w:t>Honest Acknowledgments</w:t>
      </w:r>
    </w:p>
    <w:p>
      <w:pPr>
        <w:pStyle w:val="Heading2"/>
        <w:spacing w:after="160" w:before="360"/>
      </w:pPr>
      <w:r>
        <w:rPr>
          <w:rFonts w:ascii="Arial" w:cs="Arial" w:eastAsia="Arial" w:hAnsi="Arial"/>
          <w:b/>
          <w:bCs/>
          <w:color w:val="1F4E78"/>
          <w:sz w:val="28"/>
          <w:szCs w:val="28"/>
        </w:rPr>
        <w:t>These Numbers Are Framework Estimates</w:t>
      </w:r>
    </w:p>
    <w:p>
      <w:pPr>
        <w:spacing w:after="240" w:line="340"/>
        <w:jc w:val="both"/>
      </w:pPr>
      <w:r>
        <w:t>The figures in this document are framework estimates derived from the platform's substantiation documents and aggregated for the consolidated picture. Detailed fiscal modeling, including state-level interactions, behavioral responses, dynamic effects on labor force participation and business formation, and macroeconomic feedback loops, would substantially refine these estimates. The uncertainty around the headline steady-state figure is dominated by the fund's realised return, which moves the result from adding about $0.47 trillion a year at 4 percent to reducing it by about $0.33 trillion at 6, and by the treatment of transition debt, which is undecided and worth about $0.94 trillion a year. [RESTATED v3.8.341 from a stated range of about $300 billion either side of a $900 billion reduction.]</w:t>
      </w:r>
    </w:p>
    <w:p>
      <w:pPr>
        <w:pStyle w:val="Heading2"/>
        <w:spacing w:after="160" w:before="360"/>
      </w:pPr>
      <w:r>
        <w:rPr>
          <w:rFonts w:ascii="Arial" w:cs="Arial" w:eastAsia="Arial" w:hAnsi="Arial"/>
          <w:b/>
          <w:bCs/>
          <w:color w:val="1F4E78"/>
          <w:sz w:val="28"/>
          <w:szCs w:val="28"/>
        </w:rPr>
        <w:t>Transition Costs Are Real and Politically Significant</w:t>
      </w:r>
    </w:p>
    <w:p>
      <w:pPr>
        <w:spacing w:after="240" w:line="340"/>
        <w:jc w:val="both"/>
      </w:pPr>
      <w:r>
        <w:rPr>
          <w:rFonts w:ascii="Georgia" w:cs="Georgia" w:eastAsia="Georgia" w:hAnsi="Georgia"/>
          <w:color w:val="1A1A1A"/>
          <w:sz w:val="24"/>
          <w:szCs w:val="24"/>
        </w:rPr>
        <w:t>The transition's additional federal borrowing, about [[FIG:FIG-transition-cumulative-borrowing]] over the first 25 years for Social Security alone and about $35 trillion by 2085, is a real fiscal commitment. [RESTATED v3.8.337.] Service of this borrowing adds approximately $200-400 billion per year to federal interest costs at mature steady state, depending on interest rates. The mature deficit-reduction figures above are net of this additional interest cost. The political challenge of accepting trillion-dollar additional deficits during the transition is non-trivial; the platform's economic case must be compelling enough to overcome the natural political resistance to substantially expanded near-term federal borrowing.</w:t>
      </w:r>
    </w:p>
    <w:p>
      <w:pPr>
        <w:pStyle w:val="Heading2"/>
        <w:spacing w:after="160" w:before="360"/>
      </w:pPr>
      <w:r>
        <w:rPr>
          <w:rFonts w:ascii="Arial" w:cs="Arial" w:eastAsia="Arial" w:hAnsi="Arial"/>
          <w:b/>
          <w:bCs/>
          <w:color w:val="1F4E78"/>
          <w:sz w:val="28"/>
          <w:szCs w:val="28"/>
        </w:rPr>
        <w:t>Sovereign Fund Performance Is the Critical Variable</w:t>
      </w:r>
    </w:p>
    <w:p>
      <w:pPr>
        <w:spacing w:after="240" w:line="340"/>
        <w:jc w:val="both"/>
      </w:pPr>
      <w:r>
        <w:rPr>
          <w:rFonts w:ascii="Georgia" w:cs="Georgia" w:eastAsia="Georgia" w:hAnsi="Georgia"/>
          <w:color w:val="1A1A1A"/>
          <w:sz w:val="24"/>
          <w:szCs w:val="24"/>
        </w:rPr>
        <w:t>Approximately 75% of the platform's mature steady-state revenue depends on Sovereign Fund performance. If the fund underperforms its 6% real return assumption, the platform's fiscal benefits diminish proportionally. The platform's economic case is strongest under historical-norm investment performance (4-6% real returns sustained over 30+ years). Sustained underperformance below 2% real would require significant adjustments to platform commitments or contribution rates. The Sovereign Fund Governance Design document addresses how the fund's structure protects against underperformance through diversification and political independence, but no governance structure can guarantee market returns. The Sensitivity to Sovereign Fund Returns section above provides quantitative analysis at 4% real and 2% real return assumptions.</w:t>
      </w:r>
    </w:p>
    <w:p>
      <w:pPr>
        <w:pStyle w:val="Heading2"/>
        <w:spacing w:after="160" w:before="360"/>
      </w:pPr>
      <w:r>
        <w:rPr>
          <w:rFonts w:ascii="Arial" w:cs="Arial" w:eastAsia="Arial" w:hAnsi="Arial"/>
          <w:b/>
          <w:bCs/>
          <w:color w:val="1F4E78"/>
          <w:sz w:val="28"/>
          <w:szCs w:val="28"/>
        </w:rPr>
        <w:t>State-Level Fiscal Impacts Are Not Captured Here</w:t>
      </w:r>
    </w:p>
    <w:p>
      <w:pPr>
        <w:spacing w:after="240" w:line="340"/>
        <w:jc w:val="both"/>
      </w:pPr>
      <w:r>
        <w:rPr>
          <w:rFonts w:ascii="Georgia" w:cs="Georgia" w:eastAsia="Georgia" w:hAnsi="Georgia"/>
          <w:color w:val="1A1A1A"/>
          <w:sz w:val="24"/>
          <w:szCs w:val="24"/>
        </w:rPr>
        <w:t>This document focuses on federal fiscal impact. State and local government fiscal positions are also affected by the platform — substantially in some cases. States gain fiscal capacity from the federal absorption of Medicaid working-age coverage (approximately $250 billion in current state Medicaid spending freed up). States may face new fiscal pressures from federal-state coordination requirements in education, transportation, and other areas. The Federal-State Coordination Plan document (planned for v2.11) will address state-level fiscal interactions in detail. The federal-only picture in this document does not capture the full government-sector fiscal impact. (Note: this is distinct from state cooperation effects on federal fiscal outcomes, which the Sensitivity to State Cooperation Refusal section above quantifies.)</w:t>
      </w:r>
    </w:p>
    <w:p>
      <w:pPr>
        <w:pStyle w:val="Heading2"/>
        <w:spacing w:after="160" w:before="360"/>
      </w:pPr>
      <w:r>
        <w:rPr>
          <w:rFonts w:ascii="Arial" w:cs="Arial" w:eastAsia="Arial" w:hAnsi="Arial"/>
          <w:b/>
          <w:bCs/>
          <w:color w:val="1F4E78"/>
          <w:sz w:val="28"/>
          <w:szCs w:val="28"/>
        </w:rPr>
        <w:t>Macroeconomic Feedback Loops Are Not Modeled</w:t>
      </w:r>
    </w:p>
    <w:p>
      <w:pPr>
        <w:spacing w:after="240" w:line="340"/>
        <w:jc w:val="both"/>
      </w:pPr>
      <w:r>
        <w:rPr>
          <w:rFonts w:ascii="Georgia" w:cs="Georgia" w:eastAsia="Georgia" w:hAnsi="Georgia"/>
          <w:color w:val="1A1A1A"/>
          <w:sz w:val="24"/>
          <w:szCs w:val="24"/>
        </w:rPr>
        <w:t>The platform's commitments would have substantial macroeconomic effects — on labor force participation (especially of mothers, given universal childcare), on business formation (given universal healthcare's elimination of job-lock), on educational attainment (given the Sovereign Education Fund), and on consumption patterns (given the household savings shown in the citizen-facing tables). These macroeconomic feedback loops would generate additional federal revenue through increased economic activity but are not captured in the static fiscal estimates above. Including dynamic effects would likely improve the platform's fiscal picture by an estimated $200-500 billion per year at mature steady state, but this is an estimate range rather than a precise projection.</w:t>
      </w:r>
    </w:p>
    <w:p>
      <w:pPr>
        <w:pStyle w:val="Heading1"/>
        <w:spacing w:after="240" w:before="480"/>
      </w:pPr>
      <w:r>
        <w:rPr>
          <w:rFonts w:ascii="Arial" w:cs="Arial" w:eastAsia="Arial" w:hAnsi="Arial"/>
          <w:b/>
          <w:bCs/>
          <w:color w:val="1F4E78"/>
          <w:sz w:val="36"/>
          <w:szCs w:val="36"/>
        </w:rPr>
        <w:t>Methodology: How These Projections Were Constructed</w:t>
      </w:r>
    </w:p>
    <w:p>
      <w:pPr>
        <w:spacing w:before="480"/>
        <w:jc w:val="center"/>
      </w:pPr>
      <w:r>
        <w:rPr>
          <w:rFonts w:ascii="Arial" w:cs="Arial" w:eastAsia="Arial" w:hAnsi="Arial"/>
          <w:i/>
          <w:iCs/>
          <w:color w:val="595959"/>
          <w:sz w:val="16"/>
          <w:szCs w:val="16"/>
        </w:rPr>
        <w:t>This section addresses a methodology-opacity finding from the v3.1.0 policy-professional persona simulation. The headline fiscal figures in the preceding sections are sourced (per v2.30.42) but the methodology by which projections were constructed has been compactly described rather than walked through at the level of a working-paper appendix. The platform's lead author is not a credentialed economist (documented as PROCESS-1 in the Open Issues Registry), and the mathematical models have not been independently audited (PROCESS-3); this methodology section makes the assumptions, parameter sources, and sensitivity considerations explicit so that external review by credentialed professionals has the visibility it requires.</w:t>
      </w:r>
    </w:p>
    <w:p>
      <w:pPr>
        <w:pStyle w:val="Heading2"/>
        <w:spacing w:after="160" w:before="360"/>
      </w:pPr>
      <w:r>
        <w:rPr>
          <w:rFonts w:ascii="Arial" w:cs="Arial" w:eastAsia="Arial" w:hAnsi="Arial"/>
          <w:b/>
          <w:bCs/>
          <w:color w:val="1F4E78"/>
          <w:sz w:val="28"/>
          <w:szCs w:val="28"/>
        </w:rPr>
        <w:t>Core projection architecture</w:t>
      </w:r>
    </w:p>
    <w:p>
      <w:pPr>
        <w:spacing w:before="480"/>
        <w:jc w:val="center"/>
      </w:pPr>
      <w:r>
        <w:rPr>
          <w:rFonts w:ascii="Arial" w:cs="Arial" w:eastAsia="Arial" w:hAnsi="Arial"/>
          <w:i/>
          <w:iCs/>
          <w:color w:val="595959"/>
          <w:sz w:val="16"/>
          <w:szCs w:val="16"/>
        </w:rPr>
        <w:t>The projection architecture distinguishes three categories of figure: (1) revenue-side figures derived from current federal tax data and scaled forward under documented assumptions; (2) expenditure-side figures derived from current federal program spending and projected forward under the platform's policy parameters; (3) Sovereign Fund accumulation figures derived from compounding-return models with explicit base-case and stress-scenario parameters. Each category uses different source data and different assumptions; the FFIA presents headline figures that combine all three into integrated fiscal-impact statements, but the integration is the final step rather than the foundation.</w:t>
      </w:r>
    </w:p>
    <w:p>
      <w:pPr>
        <w:pStyle w:val="Heading2"/>
        <w:spacing w:after="160" w:before="360"/>
      </w:pPr>
      <w:r>
        <w:rPr>
          <w:rFonts w:ascii="Arial" w:cs="Arial" w:eastAsia="Arial" w:hAnsi="Arial"/>
          <w:b/>
          <w:bCs/>
          <w:color w:val="1F4E78"/>
          <w:sz w:val="28"/>
          <w:szCs w:val="28"/>
        </w:rPr>
        <w:t>Key parameter sources</w:t>
      </w:r>
    </w:p>
    <w:p>
      <w:pPr>
        <w:spacing w:before="480"/>
        <w:jc w:val="center"/>
      </w:pPr>
      <w:r>
        <w:rPr>
          <w:rFonts w:ascii="Arial" w:cs="Arial" w:eastAsia="Arial" w:hAnsi="Arial"/>
          <w:i/>
          <w:iCs/>
          <w:color w:val="595959"/>
          <w:sz w:val="16"/>
          <w:szCs w:val="16"/>
        </w:rPr>
        <w:t>Federal income tax baseline data come from IRS (Internal Revenue Service) Statistics of Income tables and Joint Committee on Taxation (JCT) tax expenditure reports. Federal program spending data come from Office of Management and Budget historical tables and Congressional Budget Office (CBO) baseline projections. Healthcare expenditure baselines come from National Health Expenditure (NHE) data published by the Centers for Medicare and Medicaid Services (CMS). Wage-distribution data come from Bureau of Labor Statistics (BLS) Occupational Employment and Wage Statistics (OEWS). Demographic projections come from Census Bureau and Social Security Trustees Reports. Each parameter source is referenced inline where the corresponding figure appears in the body of this document; the consolidated source list above is provided for convenience.</w:t>
      </w:r>
    </w:p>
    <w:p>
      <w:pPr>
        <w:pStyle w:val="Heading2"/>
        <w:spacing w:after="160" w:before="360"/>
      </w:pPr>
      <w:r>
        <w:rPr>
          <w:rFonts w:ascii="Arial" w:cs="Arial" w:eastAsia="Arial" w:hAnsi="Arial"/>
          <w:b/>
          <w:bCs/>
          <w:color w:val="1F4E78"/>
          <w:sz w:val="28"/>
          <w:szCs w:val="28"/>
        </w:rPr>
        <w:t>Headline assumptions</w:t>
      </w:r>
    </w:p>
    <w:p>
      <w:pPr>
        <w:spacing w:before="480"/>
        <w:jc w:val="center"/>
      </w:pPr>
      <w:r>
        <w:rPr>
          <w:rFonts w:ascii="Arial" w:cs="Arial" w:eastAsia="Arial" w:hAnsi="Arial"/>
          <w:i/>
          <w:iCs/>
          <w:color w:val="595959"/>
          <w:sz w:val="16"/>
          <w:szCs w:val="16"/>
        </w:rPr>
        <w:t>The projections rest on several headline assumptions: (1) Sovereign Fund returns of 6 percent real annualized (base case) with 4 percent stress-scenario alternative documented in OIR Section 52; (2) healthcare cost reduction trajectory targeting per-capita spending of 9,500 dollars by Year 15 from a current baseline of 14,580 [CORRECTED v3.8.294: read $15,475 [UPDATED v3.8.406: the registered healthcare baseline moved from the CMS 2023 release to CMS 2024, [[FIG:FIG-healthcare-percapita-baseline]] = $15,475 per capita, which was already sealed in the package's own data archive. A verifier case now checks it against that source on every build], ten dollars below the sealed 2023 CMS value] dollars (canonical figures established in the Healthcare Transition Detailed Plan); (3) wage-floor parameters set at the BLS twenty-fifth percentile by occupation, scaled annually by the BLS-published occupational wage growth rate; (4) policy-parameter stability over the projection horizon (the platform does not model endogenous parameter adjustments by future Congresses, which is a known limitation). Each assumption is internally consistent with the platform's broader architecture; external review by macro-economists, healthcare economists, and labor economists would bring tools the platform's lead author does not have.</w:t>
      </w:r>
    </w:p>
    <w:p>
      <w:pPr>
        <w:pStyle w:val="Heading2"/>
        <w:spacing w:after="160" w:before="360"/>
      </w:pPr>
      <w:r>
        <w:rPr>
          <w:rFonts w:ascii="Arial" w:cs="Arial" w:eastAsia="Arial" w:hAnsi="Arial"/>
          <w:b/>
          <w:bCs/>
          <w:color w:val="1F4E78"/>
          <w:sz w:val="28"/>
          <w:szCs w:val="28"/>
        </w:rPr>
        <w:t>Sensitivity considerations</w:t>
      </w:r>
    </w:p>
    <w:p>
      <w:pPr>
        <w:spacing w:before="480"/>
        <w:jc w:val="center"/>
      </w:pPr>
      <w:r>
        <w:rPr>
          <w:rFonts w:ascii="Arial" w:cs="Arial" w:eastAsia="Arial" w:hAnsi="Arial"/>
          <w:i/>
          <w:iCs/>
          <w:color w:val="595959"/>
          <w:sz w:val="16"/>
          <w:szCs w:val="16"/>
        </w:rPr>
        <w:t>The platform's projections are most sensitive to: (a) healthcare cost reduction trajectory (a slower trajectory than the base case would defer the per-capita target by years and reduce projected Sovereign Fund contributions in the meantime); (b) Sovereign Fund return assumptions (the published 4 percent against an optimistic 6 percent [RESTATED v3.8.367] from '6 percent base case versus 4 percent stress scenario' produces approximately a two-times difference in 60-year accumulation, documented in OIR Section 52); (c) wage-growth assumptions (faster wage growth shifts more workers above wage-floor exemptions, increasing federal income tax revenue modestly); (d) labor-force participation assumptions (the platform does not model behavioral elasticity in labor supply, which a labor economist would specifically want to model). The sensitivity discussion above is qualitative; a working-paper-level treatment would include numerical sensitivity tables, which is the kind of work that warrants external research-expertise engagement (RESEARCH items in OIR Section 52).</w:t>
      </w:r>
    </w:p>
    <w:p>
      <w:pPr>
        <w:pStyle w:val="Heading2"/>
        <w:spacing w:after="160" w:before="360"/>
      </w:pPr>
      <w:r>
        <w:rPr>
          <w:rFonts w:ascii="Arial" w:cs="Arial" w:eastAsia="Arial" w:hAnsi="Arial"/>
          <w:b/>
          <w:bCs/>
          <w:color w:val="1F4E78"/>
          <w:sz w:val="28"/>
          <w:szCs w:val="28"/>
        </w:rPr>
        <w:t>What this section does not provide</w:t>
      </w:r>
    </w:p>
    <w:p>
      <w:pPr>
        <w:spacing w:before="480"/>
        <w:jc w:val="center"/>
      </w:pPr>
      <w:r>
        <w:rPr>
          <w:rFonts w:ascii="Arial" w:cs="Arial" w:eastAsia="Arial" w:hAnsi="Arial"/>
          <w:i/>
          <w:iCs/>
          <w:color w:val="595959"/>
          <w:sz w:val="16"/>
          <w:szCs w:val="16"/>
        </w:rPr>
        <w:t>This methodology section provides the architectural skeleton that a policy professional reading the FFIA in isolation needs to evaluate the document's claims. It does not provide: numerical sensitivity tables across the parameter space; formal Monte Carlo simulation of return-distribution scenarios; econometric estimation of behavioral-response parameters; independent peer review of the fiscal-impact methodology. Each of these is acknowledged as work that requires external expertise and is tracked in the Open Issues Registry. The platform's position is that this section's transparency about what is and is not included is itself the appropriate response to the methodology-opacity persona finding: rather than overstating analytical depth, the platform documents its methodology to the level the lead author can substantiate, names the further work that credentialed professionals would perform, and tracks the gap explicitly.</w:t>
      </w:r>
    </w:p>
    <w:p>
      <w:pPr>
        <w:pStyle w:val="Heading1"/>
      </w:pPr>
      <w:r>
        <w:t>Circuit-Breaker Thresholds</w:t>
      </w:r>
    </w:p>
    <w:p>
      <w:r>
        <w:t>The Fiscal Control Panel evaluates each modeled scenario against a set of circuit breakers — guardrail metrics that read clear, watch, or tripped. The thresholds below are governance design settings, not empirically estimated breakpoints: each is positioned relative to the model's central estimate so that a watch flags a scenario drifting toward the edge of the modeled range and a tripped state flags one that has left it. They are documented here so the panel's states are interpretable and the thresholds themselves are open to scrutiny; like every figure on the platform they are subject to revision and remain pending credentialed validation.</w:t>
      </w:r>
    </w:p>
    <w:p>
      <w:r>
        <w:t>Funding adequacy. Watch when realized new revenue falls below the derived [[FIG:FIG-progressive-adequacy-target]] steady-state target (any shortfall); tripped when the shortfall exceeds 15 percent. Central estimate: realized revenue of roughly $194-198 billion, a surplus. Rationale: any shortfall warrants monitoring, and the 15 percent trip point marks where a miss would exceed the surplus-plus-Sovereign-Fund contingency the model carries. The $115B target is Housing plus Immigration; the Bridge Credit is transition-financed and not part of this steady-state target.</w:t>
      </w:r>
    </w:p>
    <w:p>
      <w:r>
        <w:t>Wealth-base erosion. Watch when 25 percent of the wealth base is lost to flight, restructuring, and valuation responses; tripped at 45 percent. Central estimate: 15 percent (model basis). Rationale: 25 percent is the top of the modeled erosion range, so reaching it means the wealth mechanisms are at the pessimistic edge of expectations; 45 percent would be erosion far beyond any modeled scenario, indicating the mechanisms are not performing as designed.</w:t>
      </w:r>
    </w:p>
    <w:p>
      <w:r>
        <w:t>Disemployment from the wage floor. Watch at a 2 percent disemployment rate; tripped at 4 percent. Central estimate: approximately 0.3 percent. Rationale: the central estimate is well under one percent, so 2 percent represents a high-elasticity world worth flagging, and 4 percent would indicate labor-market harm inconsistent with a policy whose purpose is to raise the wage floor without displacing the workers it is meant to protect.</w:t>
      </w:r>
    </w:p>
    <w:p>
      <w:r>
        <w:t>Share of households better off. Watch below 90 percent; tripped below 80 percent. Central estimate: approximately 98 percent. Rationale: the platform's core distributional claim is that the large majority of households are better off under the reform; the model shows about 98 percent, so falling below 90 percent materially weakens that claim and below 80 percent would contradict it.</w:t>
      </w:r>
    </w:p>
    <w:p>
      <w:r>
        <w:t>Wealth-tax rate guardrail. Clear at or below 1 percent; watch at or below 2 percent; tripped above 2 percent. Canonical rate: 0.6 percent. Rationale: the canonical 0.6 percent rate is sized to the funding need on conservative, immobile-base assumptions; rates up to one percent remain within the defensible low-rate range, one-to-two percent is a caution band, and above two percent departs from the platform's deliberately low-rate design.</w:t>
      </w:r>
    </w:p>
    <w:p>
      <w:r>
        <w:t>These thresholds are encoded in the simulation's breaker logic and mirrored in the Fiscal Control Panel's clear, watch, and tripped indicators. Adjusting a threshold changes only when the panel flags a scenario; it does not change any underlying policy parameter.</w:t>
      </w:r>
    </w:p>
    <w:p>
      <w:pPr>
        <w:pStyle w:val="Heading1"/>
        <w:spacing w:after="240" w:before="480"/>
      </w:pPr>
      <w:r>
        <w:rPr>
          <w:rFonts w:ascii="Arial" w:cs="Arial" w:eastAsia="Arial" w:hAnsi="Arial"/>
          <w:b/>
          <w:bCs/>
          <w:color w:val="1F4E78"/>
          <w:sz w:val="36"/>
          <w:szCs w:val="36"/>
        </w:rPr>
        <w:t>Closing</w:t>
      </w:r>
    </w:p>
    <w:p>
      <w:pPr>
        <w:spacing w:after="240" w:line="340"/>
        <w:jc w:val="both"/>
      </w:pPr>
      <w:r>
        <w:t>The platform's consolidated federal fiscal impact, at mature steady state and at its published 4 percent fund return, is an ADDITION to the federal deficit of [[FIG:FIG-deficit-impact]] a year, or [[FIG:FIG-deficit-impact-with-transition-interest]] counting interest on the transition debt. This combines absorbed program savings ([[FIG:FIG-existing-programs-absorbed]]), new contribution revenues and the progressive taxes, and Sovereign Fund disbursements of [[FIG:FIG-fund-disbursements-mature]]. The steady state turns to a reduction only above about a 5.3 percent return. Of 972 combinations of the platform's own design settings tested in 05_Transition_Design_Options_And_Costs.docx, 4 close the deficit including transition interest and 324 close the steady state alone. [RESTATED v3.8.341: this stated approximately $900 billion per year in deficit reduction.]</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